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D5907" w:rsidRDefault="00ED5907"/>
    <w:tbl>
      <w:tblPr>
        <w:tblStyle w:val="a2"/>
        <w:tblW w:w="12940" w:type="dxa"/>
        <w:tblInd w:w="-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60"/>
        <w:gridCol w:w="3860"/>
        <w:gridCol w:w="1380"/>
        <w:gridCol w:w="1340"/>
        <w:gridCol w:w="1900"/>
      </w:tblGrid>
      <w:tr w:rsidR="00ED5907">
        <w:trPr>
          <w:trHeight w:val="300"/>
        </w:trPr>
        <w:tc>
          <w:tcPr>
            <w:tcW w:w="12940" w:type="dxa"/>
            <w:gridSpan w:val="5"/>
            <w:shd w:val="clear" w:color="auto" w:fill="EFEFEF"/>
          </w:tcPr>
          <w:p w:rsidR="00ED5907" w:rsidRDefault="00807DAD">
            <w:pPr>
              <w:jc w:val="center"/>
            </w:pPr>
            <w:r>
              <w:rPr>
                <w:rFonts w:ascii="Times New Roman" w:eastAsia="Times New Roman" w:hAnsi="Times New Roman" w:cs="Times New Roman"/>
                <w:b/>
                <w:color w:val="222222"/>
              </w:rPr>
              <w:t>4. In-Depth Feasibility Modeling Research of Minneapolis 311 System - medium term</w:t>
            </w:r>
          </w:p>
        </w:tc>
      </w:tr>
      <w:tr w:rsidR="00ED5907">
        <w:trPr>
          <w:trHeight w:val="480"/>
        </w:trPr>
        <w:tc>
          <w:tcPr>
            <w:tcW w:w="12940" w:type="dxa"/>
            <w:gridSpan w:val="5"/>
            <w:shd w:val="clear" w:color="auto" w:fill="C27BA0"/>
          </w:tcPr>
          <w:p w:rsidR="00ED5907" w:rsidRDefault="00807DAD">
            <w:r>
              <w:rPr>
                <w:rFonts w:ascii="Times New Roman" w:eastAsia="Times New Roman" w:hAnsi="Times New Roman" w:cs="Times New Roman"/>
                <w:b/>
                <w:sz w:val="18"/>
                <w:szCs w:val="18"/>
              </w:rPr>
              <w:t>SITUATION:</w:t>
            </w:r>
            <w:r>
              <w:rPr>
                <w:rFonts w:ascii="Times New Roman" w:eastAsia="Times New Roman" w:hAnsi="Times New Roman" w:cs="Times New Roman"/>
                <w:sz w:val="18"/>
                <w:szCs w:val="18"/>
              </w:rPr>
              <w:t xml:space="preserve"> Farmers, food entrepreneurs, food system advocates, and regulators in Minnesota have difficulty navigating complex food safety requirements and in state and local rules and regulations. Moreover, there is </w:t>
            </w:r>
            <w:proofErr w:type="gramStart"/>
            <w:r>
              <w:rPr>
                <w:rFonts w:ascii="Times New Roman" w:eastAsia="Times New Roman" w:hAnsi="Times New Roman" w:cs="Times New Roman"/>
                <w:sz w:val="18"/>
                <w:szCs w:val="18"/>
              </w:rPr>
              <w:t>a disconnect</w:t>
            </w:r>
            <w:proofErr w:type="gramEnd"/>
            <w:r>
              <w:rPr>
                <w:rFonts w:ascii="Times New Roman" w:eastAsia="Times New Roman" w:hAnsi="Times New Roman" w:cs="Times New Roman"/>
                <w:sz w:val="18"/>
                <w:szCs w:val="18"/>
              </w:rPr>
              <w:t xml:space="preserve"> in understanding around food safety practices and business innovations among these groups at the regional level. </w:t>
            </w:r>
          </w:p>
        </w:tc>
      </w:tr>
      <w:tr w:rsidR="00ED5907">
        <w:trPr>
          <w:trHeight w:val="240"/>
        </w:trPr>
        <w:tc>
          <w:tcPr>
            <w:tcW w:w="12940" w:type="dxa"/>
            <w:gridSpan w:val="5"/>
            <w:shd w:val="clear" w:color="auto" w:fill="D5A6BD"/>
          </w:tcPr>
          <w:p w:rsidR="00ED5907" w:rsidRDefault="00807DAD">
            <w:r>
              <w:rPr>
                <w:rFonts w:ascii="Times New Roman" w:eastAsia="Times New Roman" w:hAnsi="Times New Roman" w:cs="Times New Roman"/>
                <w:b/>
                <w:sz w:val="18"/>
                <w:szCs w:val="18"/>
              </w:rPr>
              <w:t xml:space="preserve">Summary: </w:t>
            </w:r>
            <w:r>
              <w:rPr>
                <w:rFonts w:ascii="Times New Roman" w:eastAsia="Times New Roman" w:hAnsi="Times New Roman" w:cs="Times New Roman"/>
                <w:sz w:val="18"/>
                <w:szCs w:val="18"/>
              </w:rPr>
              <w:t>Conduct a systematic study of the Minneapolis 311 System and create a feasibility report on how/if a similar statewide structure would occur.</w:t>
            </w:r>
          </w:p>
        </w:tc>
      </w:tr>
      <w:tr w:rsidR="00ED5907">
        <w:trPr>
          <w:trHeight w:val="440"/>
        </w:trPr>
        <w:tc>
          <w:tcPr>
            <w:tcW w:w="12940" w:type="dxa"/>
            <w:gridSpan w:val="5"/>
            <w:shd w:val="clear" w:color="auto" w:fill="EAD1DC"/>
          </w:tcPr>
          <w:p w:rsidR="00ED5907" w:rsidRDefault="00807DAD">
            <w:r>
              <w:rPr>
                <w:rFonts w:ascii="Times New Roman" w:eastAsia="Times New Roman" w:hAnsi="Times New Roman" w:cs="Times New Roman"/>
                <w:b/>
                <w:sz w:val="18"/>
                <w:szCs w:val="18"/>
              </w:rPr>
              <w:t xml:space="preserve">Ask: </w:t>
            </w:r>
            <w:r>
              <w:rPr>
                <w:rFonts w:ascii="Times New Roman" w:eastAsia="Times New Roman" w:hAnsi="Times New Roman" w:cs="Times New Roman"/>
                <w:color w:val="222222"/>
                <w:sz w:val="18"/>
                <w:szCs w:val="18"/>
                <w:highlight w:val="white"/>
              </w:rPr>
              <w:t>Funding is secured and a researcher is recruited to conduct a feasibility study about the implementation of the Minneapolis 311 System on a statewide level. MDA/MDH/Delegated Agencies participate with this research.</w:t>
            </w:r>
          </w:p>
          <w:p w:rsidR="00ED5907" w:rsidRDefault="00ED5907"/>
        </w:tc>
      </w:tr>
      <w:tr w:rsidR="00ED5907">
        <w:trPr>
          <w:trHeight w:val="240"/>
        </w:trPr>
        <w:tc>
          <w:tcPr>
            <w:tcW w:w="4460" w:type="dxa"/>
            <w:shd w:val="clear" w:color="auto" w:fill="FFD966"/>
          </w:tcPr>
          <w:p w:rsidR="00ED5907" w:rsidRDefault="00807DAD">
            <w:pPr>
              <w:jc w:val="center"/>
            </w:pPr>
            <w:r>
              <w:rPr>
                <w:rFonts w:ascii="Times New Roman" w:eastAsia="Times New Roman" w:hAnsi="Times New Roman" w:cs="Times New Roman"/>
                <w:b/>
                <w:sz w:val="18"/>
                <w:szCs w:val="18"/>
              </w:rPr>
              <w:t>INPUTS</w:t>
            </w:r>
          </w:p>
        </w:tc>
        <w:tc>
          <w:tcPr>
            <w:tcW w:w="3860" w:type="dxa"/>
            <w:shd w:val="clear" w:color="auto" w:fill="FFD966"/>
          </w:tcPr>
          <w:p w:rsidR="00ED5907" w:rsidRDefault="00807DAD">
            <w:pPr>
              <w:jc w:val="center"/>
            </w:pPr>
            <w:r>
              <w:rPr>
                <w:rFonts w:ascii="Times New Roman" w:eastAsia="Times New Roman" w:hAnsi="Times New Roman" w:cs="Times New Roman"/>
                <w:b/>
                <w:sz w:val="18"/>
                <w:szCs w:val="18"/>
              </w:rPr>
              <w:t xml:space="preserve">OUTPUTS </w:t>
            </w:r>
            <w:r>
              <w:rPr>
                <w:rFonts w:ascii="Times New Roman" w:eastAsia="Times New Roman" w:hAnsi="Times New Roman" w:cs="Times New Roman"/>
                <w:sz w:val="18"/>
                <w:szCs w:val="18"/>
              </w:rPr>
              <w:t>(Activities)</w:t>
            </w:r>
          </w:p>
        </w:tc>
        <w:tc>
          <w:tcPr>
            <w:tcW w:w="4620" w:type="dxa"/>
            <w:gridSpan w:val="3"/>
            <w:shd w:val="clear" w:color="auto" w:fill="FFD966"/>
          </w:tcPr>
          <w:p w:rsidR="00ED5907" w:rsidRDefault="00807DAD">
            <w:pPr>
              <w:jc w:val="center"/>
            </w:pPr>
            <w:r>
              <w:rPr>
                <w:rFonts w:ascii="Times New Roman" w:eastAsia="Times New Roman" w:hAnsi="Times New Roman" w:cs="Times New Roman"/>
                <w:b/>
                <w:sz w:val="18"/>
                <w:szCs w:val="18"/>
              </w:rPr>
              <w:t>OUTCOMES</w:t>
            </w:r>
          </w:p>
        </w:tc>
      </w:tr>
      <w:tr w:rsidR="00ED5907">
        <w:trPr>
          <w:trHeight w:val="240"/>
        </w:trPr>
        <w:tc>
          <w:tcPr>
            <w:tcW w:w="8320" w:type="dxa"/>
            <w:gridSpan w:val="2"/>
          </w:tcPr>
          <w:p w:rsidR="00ED5907" w:rsidRDefault="00ED5907"/>
        </w:tc>
        <w:tc>
          <w:tcPr>
            <w:tcW w:w="1380" w:type="dxa"/>
            <w:shd w:val="clear" w:color="auto" w:fill="FFF2CC"/>
          </w:tcPr>
          <w:p w:rsidR="00ED5907" w:rsidRDefault="00807DAD">
            <w:pPr>
              <w:jc w:val="center"/>
            </w:pPr>
            <w:r>
              <w:rPr>
                <w:rFonts w:ascii="Times New Roman" w:eastAsia="Times New Roman" w:hAnsi="Times New Roman" w:cs="Times New Roman"/>
                <w:sz w:val="18"/>
                <w:szCs w:val="18"/>
              </w:rPr>
              <w:t>Knowledge</w:t>
            </w:r>
          </w:p>
        </w:tc>
        <w:tc>
          <w:tcPr>
            <w:tcW w:w="1340" w:type="dxa"/>
            <w:shd w:val="clear" w:color="auto" w:fill="FFF2CC"/>
          </w:tcPr>
          <w:p w:rsidR="00ED5907" w:rsidRDefault="00807DAD">
            <w:pPr>
              <w:jc w:val="center"/>
            </w:pPr>
            <w:r>
              <w:rPr>
                <w:rFonts w:ascii="Times New Roman" w:eastAsia="Times New Roman" w:hAnsi="Times New Roman" w:cs="Times New Roman"/>
                <w:sz w:val="18"/>
                <w:szCs w:val="18"/>
              </w:rPr>
              <w:t>Actions</w:t>
            </w:r>
          </w:p>
        </w:tc>
        <w:tc>
          <w:tcPr>
            <w:tcW w:w="1900" w:type="dxa"/>
            <w:shd w:val="clear" w:color="auto" w:fill="FFF2CC"/>
          </w:tcPr>
          <w:p w:rsidR="00ED5907" w:rsidRDefault="00807DAD">
            <w:pPr>
              <w:jc w:val="center"/>
            </w:pPr>
            <w:r>
              <w:rPr>
                <w:rFonts w:ascii="Times New Roman" w:eastAsia="Times New Roman" w:hAnsi="Times New Roman" w:cs="Times New Roman"/>
                <w:sz w:val="18"/>
                <w:szCs w:val="18"/>
              </w:rPr>
              <w:t>Conditions</w:t>
            </w:r>
          </w:p>
        </w:tc>
      </w:tr>
      <w:tr w:rsidR="00ED5907">
        <w:tc>
          <w:tcPr>
            <w:tcW w:w="4460" w:type="dxa"/>
          </w:tcPr>
          <w:p w:rsidR="00ED5907" w:rsidRDefault="00807DAD">
            <w:r>
              <w:rPr>
                <w:rFonts w:ascii="Times New Roman" w:eastAsia="Times New Roman" w:hAnsi="Times New Roman" w:cs="Times New Roman"/>
                <w:sz w:val="18"/>
                <w:szCs w:val="18"/>
              </w:rPr>
              <w:t>Funding (Staff, graduate researcher)</w:t>
            </w:r>
          </w:p>
          <w:p w:rsidR="00ED5907" w:rsidRDefault="00ED5907"/>
          <w:p w:rsidR="00ED5907" w:rsidRDefault="00807DAD">
            <w:r>
              <w:rPr>
                <w:rFonts w:ascii="Times New Roman" w:eastAsia="Times New Roman" w:hAnsi="Times New Roman" w:cs="Times New Roman"/>
                <w:sz w:val="18"/>
                <w:szCs w:val="18"/>
              </w:rPr>
              <w:t>Researcher</w:t>
            </w:r>
          </w:p>
          <w:p w:rsidR="00ED5907" w:rsidRDefault="00ED5907"/>
          <w:p w:rsidR="00ED5907" w:rsidRDefault="00807DAD">
            <w:r>
              <w:rPr>
                <w:rFonts w:ascii="Times New Roman" w:eastAsia="Times New Roman" w:hAnsi="Times New Roman" w:cs="Times New Roman"/>
                <w:sz w:val="18"/>
                <w:szCs w:val="18"/>
              </w:rPr>
              <w:t>Staff to direct researcher</w:t>
            </w:r>
          </w:p>
          <w:p w:rsidR="00ED5907" w:rsidRDefault="00ED5907"/>
          <w:p w:rsidR="00ED5907" w:rsidRDefault="00807DAD">
            <w:r>
              <w:rPr>
                <w:rFonts w:ascii="Times New Roman" w:eastAsia="Times New Roman" w:hAnsi="Times New Roman" w:cs="Times New Roman"/>
                <w:sz w:val="18"/>
                <w:szCs w:val="18"/>
              </w:rPr>
              <w:t>Minneapolis 311 staff/program developers share information and advice</w:t>
            </w:r>
          </w:p>
          <w:p w:rsidR="00ED5907" w:rsidRDefault="00ED5907"/>
          <w:p w:rsidR="00ED5907" w:rsidRDefault="00807DAD">
            <w:r>
              <w:rPr>
                <w:rFonts w:ascii="Times New Roman" w:eastAsia="Times New Roman" w:hAnsi="Times New Roman" w:cs="Times New Roman"/>
                <w:sz w:val="18"/>
                <w:szCs w:val="18"/>
              </w:rPr>
              <w:t>Information expertise for designing study</w:t>
            </w:r>
          </w:p>
          <w:p w:rsidR="00ED5907" w:rsidRDefault="00ED5907"/>
          <w:p w:rsidR="00ED5907" w:rsidRDefault="00807DAD">
            <w:r>
              <w:rPr>
                <w:rFonts w:ascii="Times New Roman" w:eastAsia="Times New Roman" w:hAnsi="Times New Roman" w:cs="Times New Roman"/>
                <w:sz w:val="18"/>
                <w:szCs w:val="18"/>
              </w:rPr>
              <w:t>IT Expertise</w:t>
            </w:r>
          </w:p>
          <w:p w:rsidR="00ED5907" w:rsidRDefault="00ED5907"/>
          <w:p w:rsidR="00ED5907" w:rsidRDefault="00807DAD">
            <w:r>
              <w:rPr>
                <w:rFonts w:ascii="Times New Roman" w:eastAsia="Times New Roman" w:hAnsi="Times New Roman" w:cs="Times New Roman"/>
                <w:sz w:val="18"/>
                <w:szCs w:val="18"/>
              </w:rPr>
              <w:t>Involvement of Materials Management Division (MMD) in the MN State Office of Administration for external “look” at the agencies structure.</w:t>
            </w:r>
          </w:p>
          <w:p w:rsidR="00ED5907" w:rsidRDefault="00ED5907"/>
        </w:tc>
        <w:tc>
          <w:tcPr>
            <w:tcW w:w="3860" w:type="dxa"/>
          </w:tcPr>
          <w:p w:rsidR="00ED5907" w:rsidRDefault="00807DAD">
            <w:r>
              <w:rPr>
                <w:rFonts w:ascii="Times New Roman" w:eastAsia="Times New Roman" w:hAnsi="Times New Roman" w:cs="Times New Roman"/>
                <w:sz w:val="18"/>
                <w:szCs w:val="18"/>
              </w:rPr>
              <w:t>Study Design</w:t>
            </w:r>
          </w:p>
          <w:p w:rsidR="00ED5907" w:rsidRDefault="00ED5907"/>
          <w:p w:rsidR="00ED5907" w:rsidRDefault="00807DAD">
            <w:r>
              <w:rPr>
                <w:rFonts w:ascii="Times New Roman" w:eastAsia="Times New Roman" w:hAnsi="Times New Roman" w:cs="Times New Roman"/>
                <w:sz w:val="18"/>
                <w:szCs w:val="18"/>
              </w:rPr>
              <w:t>Documentation of existing inefficiencies in the system</w:t>
            </w:r>
          </w:p>
          <w:p w:rsidR="00ED5907" w:rsidRDefault="00ED5907"/>
          <w:p w:rsidR="00ED5907" w:rsidRDefault="00807DAD">
            <w:r>
              <w:rPr>
                <w:rFonts w:ascii="Times New Roman" w:eastAsia="Times New Roman" w:hAnsi="Times New Roman" w:cs="Times New Roman"/>
                <w:sz w:val="18"/>
                <w:szCs w:val="18"/>
              </w:rPr>
              <w:t>Conduct Business Flow Analysis</w:t>
            </w:r>
          </w:p>
          <w:p w:rsidR="00ED5907" w:rsidRDefault="00ED5907"/>
          <w:p w:rsidR="00ED5907" w:rsidRDefault="00807DAD">
            <w:r>
              <w:rPr>
                <w:rFonts w:ascii="Times New Roman" w:eastAsia="Times New Roman" w:hAnsi="Times New Roman" w:cs="Times New Roman"/>
                <w:sz w:val="18"/>
                <w:szCs w:val="18"/>
              </w:rPr>
              <w:t>Conduct study</w:t>
            </w:r>
          </w:p>
          <w:p w:rsidR="00ED5907" w:rsidRDefault="00ED5907"/>
          <w:p w:rsidR="00ED5907" w:rsidRDefault="00807DAD">
            <w:r>
              <w:rPr>
                <w:rFonts w:ascii="Times New Roman" w:eastAsia="Times New Roman" w:hAnsi="Times New Roman" w:cs="Times New Roman"/>
                <w:sz w:val="18"/>
                <w:szCs w:val="18"/>
              </w:rPr>
              <w:t>Quality improvement and performance management</w:t>
            </w:r>
          </w:p>
          <w:p w:rsidR="00ED5907" w:rsidRDefault="00ED5907"/>
          <w:p w:rsidR="00ED5907" w:rsidRDefault="00807DAD">
            <w:r>
              <w:rPr>
                <w:rFonts w:ascii="Times New Roman" w:eastAsia="Times New Roman" w:hAnsi="Times New Roman" w:cs="Times New Roman"/>
                <w:sz w:val="18"/>
                <w:szCs w:val="18"/>
              </w:rPr>
              <w:t>Creation of feasibility report</w:t>
            </w:r>
          </w:p>
          <w:p w:rsidR="00ED5907" w:rsidRDefault="00ED5907"/>
          <w:p w:rsidR="00ED5907" w:rsidRDefault="00807DAD">
            <w:r>
              <w:rPr>
                <w:rFonts w:ascii="Times New Roman" w:eastAsia="Times New Roman" w:hAnsi="Times New Roman" w:cs="Times New Roman"/>
                <w:sz w:val="18"/>
                <w:szCs w:val="18"/>
              </w:rPr>
              <w:t>Staff bring researcher(s) up to speed on background information for project</w:t>
            </w:r>
          </w:p>
          <w:p w:rsidR="00ED5907" w:rsidRDefault="00ED5907"/>
          <w:p w:rsidR="00ED5907" w:rsidRDefault="00807DAD">
            <w:r>
              <w:rPr>
                <w:rFonts w:ascii="Times New Roman" w:eastAsia="Times New Roman" w:hAnsi="Times New Roman" w:cs="Times New Roman"/>
                <w:sz w:val="18"/>
                <w:szCs w:val="18"/>
              </w:rPr>
              <w:t>Staff inform research direction</w:t>
            </w:r>
          </w:p>
          <w:p w:rsidR="00ED5907" w:rsidRDefault="00ED5907"/>
        </w:tc>
        <w:tc>
          <w:tcPr>
            <w:tcW w:w="1380" w:type="dxa"/>
          </w:tcPr>
          <w:p w:rsidR="00ED5907" w:rsidRDefault="00807DAD">
            <w:r>
              <w:rPr>
                <w:rFonts w:ascii="Times New Roman" w:eastAsia="Times New Roman" w:hAnsi="Times New Roman" w:cs="Times New Roman"/>
                <w:sz w:val="18"/>
                <w:szCs w:val="18"/>
              </w:rPr>
              <w:t>MDA/MDH/Delegated agencies understand pros/cons/likelihood of success to implement a similar model at state level</w:t>
            </w:r>
          </w:p>
        </w:tc>
        <w:tc>
          <w:tcPr>
            <w:tcW w:w="1340" w:type="dxa"/>
          </w:tcPr>
          <w:p w:rsidR="00ED5907" w:rsidRDefault="00807DAD">
            <w:r>
              <w:rPr>
                <w:rFonts w:ascii="Times New Roman" w:eastAsia="Times New Roman" w:hAnsi="Times New Roman" w:cs="Times New Roman"/>
                <w:sz w:val="18"/>
                <w:szCs w:val="18"/>
              </w:rPr>
              <w:t>Stakeholders equipped to lobby for and implement statewide system</w:t>
            </w:r>
          </w:p>
        </w:tc>
        <w:tc>
          <w:tcPr>
            <w:tcW w:w="1900" w:type="dxa"/>
          </w:tcPr>
          <w:p w:rsidR="00ED5907" w:rsidRDefault="00807DAD">
            <w:r>
              <w:rPr>
                <w:rFonts w:ascii="Times New Roman" w:eastAsia="Times New Roman" w:hAnsi="Times New Roman" w:cs="Times New Roman"/>
                <w:sz w:val="18"/>
                <w:szCs w:val="18"/>
              </w:rPr>
              <w:t>State legislator and governor have data on cost and parameters of implementation</w:t>
            </w:r>
          </w:p>
          <w:p w:rsidR="00ED5907" w:rsidRDefault="00ED5907"/>
        </w:tc>
      </w:tr>
      <w:tr w:rsidR="00ED5907">
        <w:trPr>
          <w:trHeight w:val="180"/>
        </w:trPr>
        <w:tc>
          <w:tcPr>
            <w:tcW w:w="4460" w:type="dxa"/>
          </w:tcPr>
          <w:p w:rsidR="00ED5907" w:rsidRDefault="00807DAD">
            <w:r>
              <w:rPr>
                <w:rFonts w:ascii="Times New Roman" w:eastAsia="Times New Roman" w:hAnsi="Times New Roman" w:cs="Times New Roman"/>
                <w:b/>
                <w:sz w:val="18"/>
                <w:szCs w:val="18"/>
              </w:rPr>
              <w:t xml:space="preserve">ASSUMPTIONS: </w:t>
            </w:r>
            <w:r>
              <w:rPr>
                <w:rFonts w:ascii="Times New Roman" w:eastAsia="Times New Roman" w:hAnsi="Times New Roman" w:cs="Times New Roman"/>
                <w:sz w:val="18"/>
                <w:szCs w:val="18"/>
              </w:rPr>
              <w:t xml:space="preserve">An in-depth feasibility study of the Minneapolis 311 system will effectively determine if it can and should be implemented on a statewide level.  </w:t>
            </w:r>
          </w:p>
        </w:tc>
        <w:tc>
          <w:tcPr>
            <w:tcW w:w="8480" w:type="dxa"/>
            <w:gridSpan w:val="4"/>
          </w:tcPr>
          <w:p w:rsidR="00ED5907" w:rsidRDefault="00807DAD">
            <w:r>
              <w:rPr>
                <w:rFonts w:ascii="Times New Roman" w:eastAsia="Times New Roman" w:hAnsi="Times New Roman" w:cs="Times New Roman"/>
                <w:b/>
                <w:sz w:val="18"/>
                <w:szCs w:val="18"/>
              </w:rPr>
              <w:t>EXTERNAL FACTORS:</w:t>
            </w:r>
            <w:r>
              <w:rPr>
                <w:rFonts w:ascii="Times New Roman" w:eastAsia="Times New Roman" w:hAnsi="Times New Roman" w:cs="Times New Roman"/>
                <w:sz w:val="18"/>
                <w:szCs w:val="18"/>
              </w:rPr>
              <w:t xml:space="preserve"> The success of this project will depend on the ability of the researcher to gain access to specific information, the level of involvement of the MMD, and the amount of information shared by the Minneapolis 311 staff and program developers.</w:t>
            </w:r>
          </w:p>
        </w:tc>
      </w:tr>
    </w:tbl>
    <w:p w:rsidR="00ED5907" w:rsidRDefault="00ED5907">
      <w:pPr>
        <w:widowControl w:val="0"/>
      </w:pPr>
    </w:p>
    <w:p w:rsidR="00ED5907" w:rsidRDefault="00ED5907">
      <w:pPr>
        <w:widowControl w:val="0"/>
      </w:pPr>
    </w:p>
    <w:p w:rsidR="00ED5907" w:rsidRDefault="00ED5907">
      <w:pPr>
        <w:widowControl w:val="0"/>
      </w:pPr>
    </w:p>
    <w:p w:rsidR="00ED5907" w:rsidRDefault="00ED5907">
      <w:pPr>
        <w:widowControl w:val="0"/>
      </w:pPr>
    </w:p>
    <w:p w:rsidR="00ED5907" w:rsidRDefault="00ED5907">
      <w:pPr>
        <w:widowControl w:val="0"/>
      </w:pPr>
    </w:p>
    <w:p w:rsidR="00ED5907" w:rsidRDefault="00ED5907">
      <w:pPr>
        <w:widowControl w:val="0"/>
      </w:pPr>
      <w:bookmarkStart w:id="0" w:name="_GoBack"/>
      <w:bookmarkEnd w:id="0"/>
    </w:p>
    <w:sectPr w:rsidR="00ED5907">
      <w:headerReference w:type="default" r:id="rId7"/>
      <w:pgSz w:w="15840" w:h="122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594F" w:rsidRDefault="008B594F">
      <w:pPr>
        <w:spacing w:line="240" w:lineRule="auto"/>
      </w:pPr>
      <w:r>
        <w:separator/>
      </w:r>
    </w:p>
  </w:endnote>
  <w:endnote w:type="continuationSeparator" w:id="0">
    <w:p w:rsidR="008B594F" w:rsidRDefault="008B59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594F" w:rsidRDefault="008B594F">
      <w:pPr>
        <w:spacing w:line="240" w:lineRule="auto"/>
      </w:pPr>
      <w:r>
        <w:separator/>
      </w:r>
    </w:p>
  </w:footnote>
  <w:footnote w:type="continuationSeparator" w:id="0">
    <w:p w:rsidR="008B594F" w:rsidRDefault="008B594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907" w:rsidRDefault="00807DAD">
    <w:r>
      <w:rPr>
        <w:color w:val="222222"/>
        <w:sz w:val="19"/>
        <w:szCs w:val="19"/>
        <w:highlight w:val="white"/>
      </w:rPr>
      <w:t xml:space="preserve">Changing the Approach to Regulation of Local Food Systems in Minnesota. June 2015-June 2016. Karen </w:t>
    </w:r>
    <w:proofErr w:type="spellStart"/>
    <w:r>
      <w:rPr>
        <w:color w:val="222222"/>
        <w:sz w:val="19"/>
        <w:szCs w:val="19"/>
        <w:highlight w:val="white"/>
      </w:rPr>
      <w:t>Lanthier</w:t>
    </w:r>
    <w:proofErr w:type="spellEnd"/>
    <w:r>
      <w:rPr>
        <w:color w:val="222222"/>
        <w:sz w:val="19"/>
        <w:szCs w:val="19"/>
        <w:highlight w:val="white"/>
      </w:rPr>
      <w:t xml:space="preserve"> and Stephanie Van Dyke. Minnesota Institute for Sustainable Agriculture; funded by Bush Foundation Community Innovation Grant. https://mnlocalfoodregs.wordpress.com/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9D0646"/>
    <w:multiLevelType w:val="multilevel"/>
    <w:tmpl w:val="BB3C87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44F475F3"/>
    <w:multiLevelType w:val="multilevel"/>
    <w:tmpl w:val="8B76AA1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5581748C"/>
    <w:multiLevelType w:val="multilevel"/>
    <w:tmpl w:val="FA7E445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D5907"/>
    <w:rsid w:val="00116019"/>
    <w:rsid w:val="003414E9"/>
    <w:rsid w:val="003D5A25"/>
    <w:rsid w:val="004C699B"/>
    <w:rsid w:val="00792524"/>
    <w:rsid w:val="00793088"/>
    <w:rsid w:val="00807DAD"/>
    <w:rsid w:val="008B594F"/>
    <w:rsid w:val="00DF1EC8"/>
    <w:rsid w:val="00ED5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5BCF16-37EB-4752-9D61-838283B29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pPr>
      <w:spacing w:line="240" w:lineRule="auto"/>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spacing w:line="240" w:lineRule="auto"/>
    </w:pPr>
    <w:tblPr>
      <w:tblStyleRowBandSize w:val="1"/>
      <w:tblStyleColBandSize w:val="1"/>
      <w:tblInd w:w="0" w:type="dxa"/>
      <w:tblCellMar>
        <w:top w:w="0" w:type="dxa"/>
        <w:left w:w="115" w:type="dxa"/>
        <w:bottom w:w="0" w:type="dxa"/>
        <w:right w:w="115" w:type="dxa"/>
      </w:tblCellMar>
    </w:tblPr>
  </w:style>
  <w:style w:type="table" w:customStyle="1" w:styleId="a1">
    <w:basedOn w:val="TableNormal"/>
    <w:pPr>
      <w:spacing w:line="240" w:lineRule="auto"/>
    </w:pPr>
    <w:tblPr>
      <w:tblStyleRowBandSize w:val="1"/>
      <w:tblStyleColBandSize w:val="1"/>
      <w:tblInd w:w="0" w:type="dxa"/>
      <w:tblCellMar>
        <w:top w:w="0" w:type="dxa"/>
        <w:left w:w="115" w:type="dxa"/>
        <w:bottom w:w="0" w:type="dxa"/>
        <w:right w:w="115" w:type="dxa"/>
      </w:tblCellMar>
    </w:tblPr>
  </w:style>
  <w:style w:type="table" w:customStyle="1" w:styleId="a2">
    <w:basedOn w:val="TableNormal"/>
    <w:pPr>
      <w:spacing w:line="240" w:lineRule="auto"/>
    </w:pPr>
    <w:tblPr>
      <w:tblStyleRowBandSize w:val="1"/>
      <w:tblStyleColBandSize w:val="1"/>
      <w:tblInd w:w="0" w:type="dxa"/>
      <w:tblCellMar>
        <w:top w:w="0" w:type="dxa"/>
        <w:left w:w="115" w:type="dxa"/>
        <w:bottom w:w="0" w:type="dxa"/>
        <w:right w:w="115" w:type="dxa"/>
      </w:tblCellMar>
    </w:tblPr>
  </w:style>
  <w:style w:type="table" w:customStyle="1" w:styleId="a3">
    <w:basedOn w:val="TableNormal"/>
    <w:pPr>
      <w:spacing w:line="240" w:lineRule="auto"/>
    </w:pPr>
    <w:tblPr>
      <w:tblStyleRowBandSize w:val="1"/>
      <w:tblStyleColBandSize w:val="1"/>
      <w:tblInd w:w="0" w:type="dxa"/>
      <w:tblCellMar>
        <w:top w:w="0" w:type="dxa"/>
        <w:left w:w="115" w:type="dxa"/>
        <w:bottom w:w="0" w:type="dxa"/>
        <w:right w:w="115" w:type="dxa"/>
      </w:tblCellMar>
    </w:tblPr>
  </w:style>
  <w:style w:type="table" w:customStyle="1" w:styleId="a4">
    <w:basedOn w:val="TableNormal"/>
    <w:pPr>
      <w:spacing w:line="240" w:lineRule="auto"/>
    </w:pPr>
    <w:tblPr>
      <w:tblStyleRowBandSize w:val="1"/>
      <w:tblStyleColBandSize w:val="1"/>
      <w:tblInd w:w="0" w:type="dxa"/>
      <w:tblCellMar>
        <w:top w:w="0" w:type="dxa"/>
        <w:left w:w="115" w:type="dxa"/>
        <w:bottom w:w="0" w:type="dxa"/>
        <w:right w:w="115" w:type="dxa"/>
      </w:tblCellMar>
    </w:tblPr>
  </w:style>
  <w:style w:type="table" w:customStyle="1" w:styleId="a5">
    <w:basedOn w:val="TableNormal"/>
    <w:pPr>
      <w:spacing w:line="240" w:lineRule="auto"/>
    </w:pPr>
    <w:tblPr>
      <w:tblStyleRowBandSize w:val="1"/>
      <w:tblStyleColBandSize w:val="1"/>
      <w:tblInd w:w="0" w:type="dxa"/>
      <w:tblCellMar>
        <w:top w:w="0" w:type="dxa"/>
        <w:left w:w="115" w:type="dxa"/>
        <w:bottom w:w="0" w:type="dxa"/>
        <w:right w:w="115" w:type="dxa"/>
      </w:tblCellMar>
    </w:tblPr>
  </w:style>
  <w:style w:type="table" w:customStyle="1" w:styleId="a6">
    <w:basedOn w:val="TableNormal"/>
    <w:pPr>
      <w:spacing w:line="240" w:lineRule="auto"/>
    </w:pPr>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330</Words>
  <Characters>1883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2209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G Jewett</dc:creator>
  <cp:lastModifiedBy>Jane G Jewett</cp:lastModifiedBy>
  <cp:revision>3</cp:revision>
  <dcterms:created xsi:type="dcterms:W3CDTF">2016-06-30T18:14:00Z</dcterms:created>
  <dcterms:modified xsi:type="dcterms:W3CDTF">2016-06-30T18:30:00Z</dcterms:modified>
</cp:coreProperties>
</file>