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A5E144" w14:textId="77777777" w:rsidR="00F31FCD" w:rsidRDefault="00CE172C">
      <w:pPr>
        <w:spacing w:before="80"/>
        <w:ind w:right="220"/>
        <w:jc w:val="center"/>
      </w:pPr>
      <w:bookmarkStart w:id="0" w:name="_GoBack"/>
      <w:bookmarkEnd w:id="0"/>
      <w:r>
        <w:rPr>
          <w:b/>
          <w:color w:val="222222"/>
          <w:sz w:val="28"/>
          <w:szCs w:val="28"/>
          <w:highlight w:val="white"/>
        </w:rPr>
        <w:t>Referral Organizations</w:t>
      </w:r>
    </w:p>
    <w:p w14:paraId="42BFB3E9" w14:textId="77777777" w:rsidR="00F31FCD" w:rsidRDefault="00CE172C">
      <w:pPr>
        <w:spacing w:before="80"/>
        <w:ind w:right="220"/>
        <w:jc w:val="center"/>
      </w:pPr>
      <w:r>
        <w:rPr>
          <w:color w:val="222222"/>
          <w:highlight w:val="white"/>
        </w:rPr>
        <w:t>Ideas for Inspectors when working with Food Entrepreneurs</w:t>
      </w:r>
    </w:p>
    <w:p w14:paraId="4F65D30D" w14:textId="77777777" w:rsidR="00F31FCD" w:rsidRDefault="00F31FCD">
      <w:pPr>
        <w:spacing w:before="80"/>
        <w:ind w:right="220"/>
        <w:jc w:val="center"/>
      </w:pPr>
    </w:p>
    <w:tbl>
      <w:tblPr>
        <w:tblStyle w:val="a"/>
        <w:tblW w:w="14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305"/>
        <w:gridCol w:w="1035"/>
        <w:gridCol w:w="1290"/>
        <w:gridCol w:w="1050"/>
        <w:gridCol w:w="975"/>
        <w:gridCol w:w="930"/>
        <w:gridCol w:w="840"/>
        <w:gridCol w:w="840"/>
        <w:gridCol w:w="1230"/>
        <w:gridCol w:w="1350"/>
        <w:gridCol w:w="1260"/>
        <w:gridCol w:w="1260"/>
      </w:tblGrid>
      <w:tr w:rsidR="00F31FCD" w14:paraId="1347A431" w14:textId="77777777">
        <w:trPr>
          <w:trHeight w:val="420"/>
          <w:jc w:val="center"/>
        </w:trPr>
        <w:tc>
          <w:tcPr>
            <w:tcW w:w="14790" w:type="dxa"/>
            <w:gridSpan w:val="13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78A9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t>Community/Non-Profit Resources</w:t>
            </w:r>
          </w:p>
        </w:tc>
      </w:tr>
      <w:tr w:rsidR="00F31FCD" w14:paraId="2CBD92ED" w14:textId="77777777">
        <w:trPr>
          <w:jc w:val="center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B980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4B33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Community and Economic Development Associates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CC59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Hmong American Farmers Assoc.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76F5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Land Stewardship Project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5BF5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Latino Economic Development Center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C6BC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MN Farmers</w:t>
            </w:r>
          </w:p>
          <w:p w14:paraId="5D3CD02B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Market Assoc.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F278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MN Farmers Union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87D7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MN Farm Bureau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BF6F4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MN Food Assoc.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EEA8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MN Institute for Sustainable Agriculture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7695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Regional Sustainable Development Partnerships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D38C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Renewing the Countryside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7C26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Sustainable Farming Association</w:t>
            </w:r>
          </w:p>
        </w:tc>
      </w:tr>
      <w:tr w:rsidR="00F31FCD" w14:paraId="1C3D80C6" w14:textId="77777777">
        <w:trPr>
          <w:jc w:val="center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4EC2" w14:textId="77777777" w:rsidR="00F31FCD" w:rsidRDefault="00CE172C">
            <w:pPr>
              <w:widowControl w:val="0"/>
              <w:spacing w:line="240" w:lineRule="auto"/>
            </w:pPr>
            <w:r>
              <w:rPr>
                <w:b/>
                <w:i/>
                <w:color w:val="222222"/>
                <w:sz w:val="18"/>
                <w:szCs w:val="18"/>
                <w:highlight w:val="white"/>
              </w:rPr>
              <w:t>Business Development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5F51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15D33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3EE7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E170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3E09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A986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53BE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869A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C8EF9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B5CF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8762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BBDA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</w:tr>
      <w:tr w:rsidR="00F31FCD" w14:paraId="41C3517E" w14:textId="77777777">
        <w:trPr>
          <w:jc w:val="center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F8F4" w14:textId="77777777" w:rsidR="00F31FCD" w:rsidRDefault="00CE172C">
            <w:pPr>
              <w:widowControl w:val="0"/>
              <w:spacing w:line="240" w:lineRule="auto"/>
            </w:pPr>
            <w:r>
              <w:rPr>
                <w:b/>
                <w:i/>
                <w:color w:val="222222"/>
                <w:sz w:val="18"/>
                <w:szCs w:val="18"/>
                <w:highlight w:val="white"/>
              </w:rPr>
              <w:t>Farmer Education /Support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9E5A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CA53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8DA6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D552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9797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2570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329F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DE32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F54F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CD0A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BBD7E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61D7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</w:tr>
      <w:tr w:rsidR="00F31FCD" w14:paraId="0E1E7C0D" w14:textId="77777777">
        <w:trPr>
          <w:jc w:val="center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272F" w14:textId="77777777" w:rsidR="00F31FCD" w:rsidRDefault="00CE172C">
            <w:pPr>
              <w:widowControl w:val="0"/>
              <w:spacing w:line="240" w:lineRule="auto"/>
            </w:pPr>
            <w:r>
              <w:rPr>
                <w:b/>
                <w:i/>
                <w:color w:val="222222"/>
                <w:sz w:val="18"/>
                <w:szCs w:val="18"/>
                <w:highlight w:val="white"/>
              </w:rPr>
              <w:t>Financial management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4329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7D4D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9AC2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EFA0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9D39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7437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3A05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BC11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4A162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F1D6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724B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648A9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</w:tr>
      <w:tr w:rsidR="00F31FCD" w14:paraId="38F723F5" w14:textId="77777777">
        <w:trPr>
          <w:jc w:val="center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AD7A" w14:textId="77777777" w:rsidR="00F31FCD" w:rsidRDefault="00CE172C">
            <w:pPr>
              <w:widowControl w:val="0"/>
              <w:spacing w:line="240" w:lineRule="auto"/>
            </w:pPr>
            <w:r>
              <w:rPr>
                <w:b/>
                <w:i/>
                <w:color w:val="222222"/>
                <w:sz w:val="18"/>
                <w:szCs w:val="18"/>
                <w:highlight w:val="white"/>
              </w:rPr>
              <w:t>Food regulations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0859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0ECF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D1D3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4F16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EB1D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957E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FA70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5150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2D80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4D42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BAF0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5A7C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</w:tr>
      <w:tr w:rsidR="00F31FCD" w14:paraId="77A8DDE7" w14:textId="77777777">
        <w:trPr>
          <w:jc w:val="center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50D5" w14:textId="77777777" w:rsidR="00F31FCD" w:rsidRDefault="00CE172C">
            <w:pPr>
              <w:widowControl w:val="0"/>
              <w:spacing w:line="240" w:lineRule="auto"/>
            </w:pPr>
            <w:r>
              <w:rPr>
                <w:b/>
                <w:i/>
                <w:color w:val="222222"/>
                <w:sz w:val="18"/>
                <w:szCs w:val="18"/>
                <w:highlight w:val="white"/>
              </w:rPr>
              <w:t>Insurance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EBA0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107F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BAE4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A61B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153A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2D7C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89A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BB86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B368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91AB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34BF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653E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</w:tr>
      <w:tr w:rsidR="00F31FCD" w14:paraId="08187EAC" w14:textId="77777777">
        <w:trPr>
          <w:jc w:val="center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D3B7" w14:textId="77777777" w:rsidR="00F31FCD" w:rsidRDefault="00CE172C">
            <w:pPr>
              <w:widowControl w:val="0"/>
              <w:spacing w:line="240" w:lineRule="auto"/>
            </w:pPr>
            <w:r>
              <w:rPr>
                <w:b/>
                <w:i/>
                <w:color w:val="222222"/>
                <w:sz w:val="18"/>
                <w:szCs w:val="18"/>
                <w:highlight w:val="white"/>
              </w:rPr>
              <w:t>Language translation referral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E36F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C588" w14:textId="77777777" w:rsidR="00F31FCD" w:rsidRDefault="00CE172C">
            <w:pPr>
              <w:widowControl w:val="0"/>
              <w:spacing w:line="240" w:lineRule="auto"/>
              <w:jc w:val="center"/>
            </w:pPr>
            <w:commentRangeStart w:id="1"/>
            <w:commentRangeStart w:id="2"/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D2B0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9371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  <w:commentRangeEnd w:id="1"/>
            <w:r>
              <w:commentReference w:id="1"/>
            </w:r>
            <w:commentRangeEnd w:id="2"/>
            <w:r>
              <w:commentReference w:id="2"/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FFEF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6245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CC54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957F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0107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45DC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B402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7536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</w:tr>
      <w:tr w:rsidR="00F31FCD" w14:paraId="4706038F" w14:textId="77777777">
        <w:trPr>
          <w:jc w:val="center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4F19" w14:textId="77777777" w:rsidR="00F31FCD" w:rsidRDefault="00CE172C">
            <w:pPr>
              <w:widowControl w:val="0"/>
              <w:spacing w:line="240" w:lineRule="auto"/>
            </w:pPr>
            <w:r>
              <w:rPr>
                <w:b/>
                <w:i/>
                <w:color w:val="222222"/>
                <w:sz w:val="18"/>
                <w:szCs w:val="18"/>
                <w:highlight w:val="white"/>
              </w:rPr>
              <w:t>Loans/Grants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37EB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F0F1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F45D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7112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49ED9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C678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0C90E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E14C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F7D3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43FA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9E12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E09E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</w:tr>
      <w:tr w:rsidR="00F31FCD" w14:paraId="69709B81" w14:textId="77777777">
        <w:trPr>
          <w:jc w:val="center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7005" w14:textId="77777777" w:rsidR="00F31FCD" w:rsidRDefault="00CE172C">
            <w:pPr>
              <w:widowControl w:val="0"/>
              <w:spacing w:line="240" w:lineRule="auto"/>
            </w:pPr>
            <w:r>
              <w:rPr>
                <w:b/>
                <w:i/>
                <w:color w:val="222222"/>
                <w:sz w:val="18"/>
                <w:szCs w:val="18"/>
                <w:highlight w:val="white"/>
              </w:rPr>
              <w:t>Membership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D5F50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3E55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F430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81FC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66A5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8BB7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BD6A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6A11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F0DB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E3DD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87B1D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DB9B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</w:tr>
    </w:tbl>
    <w:p w14:paraId="200A87AC" w14:textId="77777777" w:rsidR="00F31FCD" w:rsidRDefault="00F31FCD">
      <w:pPr>
        <w:spacing w:before="80"/>
        <w:ind w:right="220"/>
        <w:jc w:val="center"/>
      </w:pPr>
    </w:p>
    <w:p w14:paraId="4F0382DD" w14:textId="77777777" w:rsidR="00F31FCD" w:rsidRDefault="00F31FCD">
      <w:pPr>
        <w:spacing w:before="80"/>
        <w:ind w:right="220"/>
      </w:pPr>
    </w:p>
    <w:tbl>
      <w:tblPr>
        <w:tblStyle w:val="a0"/>
        <w:tblW w:w="108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590"/>
        <w:gridCol w:w="1140"/>
        <w:gridCol w:w="1425"/>
        <w:gridCol w:w="1515"/>
        <w:gridCol w:w="1665"/>
        <w:gridCol w:w="1800"/>
      </w:tblGrid>
      <w:tr w:rsidR="00F31FCD" w14:paraId="6A97FB15" w14:textId="77777777">
        <w:trPr>
          <w:trHeight w:val="420"/>
          <w:jc w:val="center"/>
        </w:trPr>
        <w:tc>
          <w:tcPr>
            <w:tcW w:w="10845" w:type="dxa"/>
            <w:gridSpan w:val="7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26A9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b/>
                <w:color w:val="222222"/>
              </w:rPr>
              <w:lastRenderedPageBreak/>
              <w:t>Other Agency/Government Resources</w:t>
            </w:r>
          </w:p>
        </w:tc>
      </w:tr>
      <w:tr w:rsidR="00F31FCD" w14:paraId="6A6F44BB" w14:textId="77777777">
        <w:trPr>
          <w:jc w:val="center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3EBA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4733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Dept of Labor and Industry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635F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Minnesota Grown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E018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Small Business Admin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D57C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Small Business Development Centers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BB94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Dept of Employment and Economic Development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0C2F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Regional Economic Development Commissions</w:t>
            </w:r>
          </w:p>
        </w:tc>
      </w:tr>
      <w:tr w:rsidR="00F31FCD" w14:paraId="76744DBA" w14:textId="77777777">
        <w:trPr>
          <w:trHeight w:val="640"/>
          <w:jc w:val="center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BC15" w14:textId="77777777" w:rsidR="00F31FCD" w:rsidRDefault="00CE172C">
            <w:pPr>
              <w:widowControl w:val="0"/>
              <w:spacing w:line="240" w:lineRule="auto"/>
            </w:pPr>
            <w:r>
              <w:rPr>
                <w:b/>
                <w:i/>
                <w:color w:val="222222"/>
                <w:sz w:val="18"/>
                <w:szCs w:val="18"/>
                <w:highlight w:val="white"/>
              </w:rPr>
              <w:t>Business Development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5F07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4A82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15B8F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50F2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1F25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9000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</w:tr>
      <w:tr w:rsidR="00F31FCD" w14:paraId="2F77E001" w14:textId="77777777">
        <w:trPr>
          <w:jc w:val="center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D0FA" w14:textId="77777777" w:rsidR="00F31FCD" w:rsidRDefault="00CE172C">
            <w:pPr>
              <w:widowControl w:val="0"/>
              <w:spacing w:line="240" w:lineRule="auto"/>
            </w:pPr>
            <w:r>
              <w:rPr>
                <w:b/>
                <w:i/>
                <w:color w:val="222222"/>
                <w:sz w:val="18"/>
                <w:szCs w:val="18"/>
                <w:highlight w:val="white"/>
              </w:rPr>
              <w:t>Farmer Support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0320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C993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FC45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C43F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9548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B050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</w:tr>
      <w:tr w:rsidR="00F31FCD" w14:paraId="5FAA1A61" w14:textId="77777777">
        <w:trPr>
          <w:jc w:val="center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5245" w14:textId="77777777" w:rsidR="00F31FCD" w:rsidRDefault="00CE172C">
            <w:pPr>
              <w:widowControl w:val="0"/>
              <w:spacing w:line="240" w:lineRule="auto"/>
            </w:pPr>
            <w:r>
              <w:rPr>
                <w:b/>
                <w:i/>
                <w:color w:val="222222"/>
                <w:sz w:val="18"/>
                <w:szCs w:val="18"/>
                <w:highlight w:val="white"/>
              </w:rPr>
              <w:t>Financial management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D49E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8A09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76E7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4AAB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584B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E460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</w:tr>
      <w:tr w:rsidR="00F31FCD" w14:paraId="55887B6F" w14:textId="77777777">
        <w:trPr>
          <w:jc w:val="center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DD79" w14:textId="77777777" w:rsidR="00F31FCD" w:rsidRDefault="00CE172C">
            <w:pPr>
              <w:widowControl w:val="0"/>
              <w:spacing w:line="240" w:lineRule="auto"/>
            </w:pPr>
            <w:r>
              <w:rPr>
                <w:b/>
                <w:i/>
                <w:color w:val="222222"/>
                <w:sz w:val="18"/>
                <w:szCs w:val="18"/>
                <w:highlight w:val="white"/>
              </w:rPr>
              <w:t>Food regulations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2375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F156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1BB4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895B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2E0B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2880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</w:tr>
      <w:tr w:rsidR="00F31FCD" w14:paraId="2D84075C" w14:textId="77777777">
        <w:trPr>
          <w:jc w:val="center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2F5B" w14:textId="77777777" w:rsidR="00F31FCD" w:rsidRDefault="00CE172C">
            <w:pPr>
              <w:widowControl w:val="0"/>
              <w:spacing w:line="240" w:lineRule="auto"/>
            </w:pPr>
            <w:r>
              <w:rPr>
                <w:b/>
                <w:i/>
                <w:color w:val="222222"/>
                <w:sz w:val="18"/>
                <w:szCs w:val="18"/>
                <w:highlight w:val="white"/>
              </w:rPr>
              <w:t>Insurance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B4B1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9CE1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2E85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626E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060E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16BC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</w:tr>
      <w:tr w:rsidR="00F31FCD" w14:paraId="3CED2026" w14:textId="77777777">
        <w:trPr>
          <w:jc w:val="center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1ED4" w14:textId="77777777" w:rsidR="00F31FCD" w:rsidRDefault="00CE172C">
            <w:pPr>
              <w:widowControl w:val="0"/>
              <w:spacing w:line="240" w:lineRule="auto"/>
            </w:pPr>
            <w:r>
              <w:rPr>
                <w:b/>
                <w:i/>
                <w:color w:val="222222"/>
                <w:sz w:val="18"/>
                <w:szCs w:val="18"/>
                <w:highlight w:val="white"/>
              </w:rPr>
              <w:t>Licensing and Codes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6CA7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2100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F123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BA88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E60D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30C0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</w:tr>
      <w:tr w:rsidR="00F31FCD" w14:paraId="007D022B" w14:textId="77777777">
        <w:trPr>
          <w:jc w:val="center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28F2" w14:textId="77777777" w:rsidR="00F31FCD" w:rsidRDefault="00CE172C">
            <w:pPr>
              <w:widowControl w:val="0"/>
              <w:spacing w:line="240" w:lineRule="auto"/>
            </w:pPr>
            <w:r>
              <w:rPr>
                <w:b/>
                <w:i/>
                <w:color w:val="222222"/>
                <w:sz w:val="18"/>
                <w:szCs w:val="18"/>
                <w:highlight w:val="white"/>
              </w:rPr>
              <w:t>Loans and Grants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AF44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BE84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7657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BDC7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35E3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20F3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</w:tr>
      <w:tr w:rsidR="00F31FCD" w14:paraId="3A0971DB" w14:textId="77777777">
        <w:trPr>
          <w:jc w:val="center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D0B6" w14:textId="77777777" w:rsidR="00F31FCD" w:rsidRDefault="00CE172C">
            <w:pPr>
              <w:widowControl w:val="0"/>
              <w:spacing w:line="240" w:lineRule="auto"/>
            </w:pPr>
            <w:r>
              <w:rPr>
                <w:b/>
                <w:i/>
                <w:color w:val="222222"/>
                <w:sz w:val="18"/>
                <w:szCs w:val="18"/>
                <w:highlight w:val="white"/>
              </w:rPr>
              <w:t>Membership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AC95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CCF7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highlight w:val="white"/>
              </w:rPr>
              <w:t>✔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C486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0348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86E9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7835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</w:tr>
    </w:tbl>
    <w:p w14:paraId="1761A7EB" w14:textId="77777777" w:rsidR="00F31FCD" w:rsidRDefault="00F31FCD">
      <w:pPr>
        <w:spacing w:before="80"/>
        <w:ind w:right="220"/>
        <w:jc w:val="center"/>
      </w:pPr>
    </w:p>
    <w:p w14:paraId="18738F2E" w14:textId="77777777" w:rsidR="00F31FCD" w:rsidRDefault="00F31FCD">
      <w:pPr>
        <w:spacing w:before="80"/>
        <w:ind w:right="220"/>
      </w:pPr>
    </w:p>
    <w:p w14:paraId="2448A304" w14:textId="77777777" w:rsidR="00F31FCD" w:rsidRDefault="00F31FCD">
      <w:pPr>
        <w:spacing w:before="80"/>
        <w:ind w:right="220"/>
      </w:pPr>
    </w:p>
    <w:p w14:paraId="11A298FD" w14:textId="77777777" w:rsidR="00F31FCD" w:rsidRDefault="00F31FCD">
      <w:pPr>
        <w:spacing w:before="80"/>
        <w:ind w:right="220"/>
      </w:pPr>
    </w:p>
    <w:p w14:paraId="25D3CECB" w14:textId="77777777" w:rsidR="00F31FCD" w:rsidRDefault="00F31FCD">
      <w:pPr>
        <w:spacing w:before="80"/>
        <w:ind w:right="220"/>
      </w:pPr>
    </w:p>
    <w:p w14:paraId="49B11404" w14:textId="77777777" w:rsidR="00F31FCD" w:rsidRDefault="00F31FCD">
      <w:pPr>
        <w:spacing w:before="80"/>
        <w:ind w:right="220"/>
      </w:pPr>
    </w:p>
    <w:p w14:paraId="2959C83A" w14:textId="77777777" w:rsidR="00F31FCD" w:rsidRDefault="00F31FCD">
      <w:pPr>
        <w:spacing w:before="80"/>
        <w:ind w:right="220"/>
      </w:pPr>
    </w:p>
    <w:p w14:paraId="74632CB0" w14:textId="77777777" w:rsidR="00F31FCD" w:rsidRDefault="00F31FCD">
      <w:pPr>
        <w:spacing w:before="80"/>
        <w:ind w:right="220"/>
      </w:pPr>
    </w:p>
    <w:p w14:paraId="1BB6510E" w14:textId="77777777" w:rsidR="00F31FCD" w:rsidRDefault="00F31FCD">
      <w:pPr>
        <w:spacing w:before="80"/>
        <w:ind w:right="220"/>
      </w:pPr>
    </w:p>
    <w:p w14:paraId="3C5035F7" w14:textId="77777777" w:rsidR="00F31FCD" w:rsidRDefault="00F31FCD">
      <w:pPr>
        <w:spacing w:before="80"/>
        <w:ind w:right="220"/>
      </w:pPr>
    </w:p>
    <w:tbl>
      <w:tblPr>
        <w:tblStyle w:val="a1"/>
        <w:tblW w:w="1341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0350"/>
      </w:tblGrid>
      <w:tr w:rsidR="00F31FCD" w14:paraId="4417D1C1" w14:textId="77777777">
        <w:tc>
          <w:tcPr>
            <w:tcW w:w="30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2131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b/>
                <w:sz w:val="19"/>
                <w:szCs w:val="19"/>
              </w:rPr>
              <w:t>Organization Name</w:t>
            </w:r>
          </w:p>
        </w:tc>
        <w:tc>
          <w:tcPr>
            <w:tcW w:w="1035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3430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b/>
                <w:sz w:val="19"/>
                <w:szCs w:val="19"/>
              </w:rPr>
              <w:t>Programs</w:t>
            </w:r>
          </w:p>
        </w:tc>
      </w:tr>
      <w:tr w:rsidR="00F31FCD" w14:paraId="575DBC4F" w14:textId="77777777">
        <w:trPr>
          <w:trHeight w:val="38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BB6B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8"/>
                <w:szCs w:val="18"/>
                <w:highlight w:val="white"/>
              </w:rPr>
              <w:t>Community and Economic Development Associates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E92A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Community Support Program, Small Business Assistance, Community Development &amp; Planning. http://www.cedausa.com/</w:t>
            </w:r>
          </w:p>
        </w:tc>
      </w:tr>
      <w:tr w:rsidR="00F31FCD" w14:paraId="30A710C8" w14:textId="77777777">
        <w:trPr>
          <w:trHeight w:val="38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0A8D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Department of Employment and Economic Development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939F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Starting a Business (legalities, insurance), Ma</w:t>
            </w:r>
            <w:r>
              <w:rPr>
                <w:color w:val="222222"/>
                <w:sz w:val="19"/>
                <w:szCs w:val="19"/>
                <w:highlight w:val="white"/>
              </w:rPr>
              <w:t>naging a Business, Financing a Business (taxes, loans, recovery financing), Locating in MN, Expert Help. http://mn.gov/deed/</w:t>
            </w:r>
          </w:p>
        </w:tc>
      </w:tr>
      <w:tr w:rsidR="00F31FCD" w14:paraId="5C42F844" w14:textId="77777777">
        <w:trPr>
          <w:trHeight w:val="38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9037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Department of Labor and Industry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535D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Construction Codes and Licensing, Occupational Safety and Health. http://www.dli.mn.gov/</w:t>
            </w:r>
          </w:p>
        </w:tc>
      </w:tr>
      <w:tr w:rsidR="00F31FCD" w14:paraId="69E0F0F5" w14:textId="77777777">
        <w:trPr>
          <w:trHeight w:val="38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2E9C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Hmong American Farmers Association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CB59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Agricultural Land Trusts, Alternative Markets, Business Development, Research, Trainings</w:t>
            </w:r>
          </w:p>
          <w:p w14:paraId="13C0E369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http://www.hmongfarmers.com/</w:t>
            </w:r>
          </w:p>
        </w:tc>
      </w:tr>
      <w:tr w:rsidR="00F31FCD" w14:paraId="2066B556" w14:textId="77777777">
        <w:trPr>
          <w:trHeight w:val="54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E195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Land Stewardship Project</w:t>
            </w:r>
          </w:p>
          <w:p w14:paraId="1F4317A1" w14:textId="77777777" w:rsidR="00F31FCD" w:rsidRDefault="00F31FCD">
            <w:pPr>
              <w:widowControl w:val="0"/>
              <w:spacing w:line="240" w:lineRule="auto"/>
              <w:jc w:val="center"/>
            </w:pP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30C3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Land Stewardship, Farm Beginnings, LSP Farmer Network, Farm Transition Tools</w:t>
            </w:r>
            <w:r>
              <w:rPr>
                <w:color w:val="222222"/>
                <w:sz w:val="19"/>
                <w:szCs w:val="19"/>
                <w:highlight w:val="white"/>
              </w:rPr>
              <w:t>, Community Organizing</w:t>
            </w:r>
          </w:p>
          <w:p w14:paraId="2BD1884D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http://landstewardshipproject.org/</w:t>
            </w:r>
          </w:p>
        </w:tc>
      </w:tr>
      <w:tr w:rsidR="00F31FCD" w14:paraId="0DC500D1" w14:textId="77777777">
        <w:trPr>
          <w:trHeight w:val="38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6309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Latino Economic Development Center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0BFE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Business Loans &amp; Technical Assistance, Latino Academy Teocalli Tequiotl OIC, Greater MN, Special Projects</w:t>
            </w:r>
          </w:p>
          <w:p w14:paraId="266BB9D6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http://www.ledc-mn.org/</w:t>
            </w:r>
          </w:p>
        </w:tc>
      </w:tr>
      <w:tr w:rsidR="00F31FCD" w14:paraId="091B26E4" w14:textId="77777777">
        <w:trPr>
          <w:trHeight w:val="64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FCA2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MN Farmers Market Association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C139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Insurance &amp; Membership, Farmer’s Market, Resources, Conferences</w:t>
            </w:r>
          </w:p>
          <w:p w14:paraId="7CE57089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http://www.mfma.org/</w:t>
            </w:r>
          </w:p>
        </w:tc>
      </w:tr>
      <w:tr w:rsidR="00F31FCD" w14:paraId="13F9D747" w14:textId="77777777">
        <w:trPr>
          <w:trHeight w:val="38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BAB0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MN Farmers Union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E52C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Membership, Advocacy, Insurance, Education (Youth Camps, Scholarships). http://www.mfu.org/</w:t>
            </w:r>
          </w:p>
        </w:tc>
      </w:tr>
      <w:tr w:rsidR="00F31FCD" w14:paraId="4C1CF9B3" w14:textId="77777777">
        <w:trPr>
          <w:trHeight w:val="38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6FDE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MN Farm Bureau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96E0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Agriculture Transport Handbook, Farm Fresh Di</w:t>
            </w:r>
            <w:r>
              <w:rPr>
                <w:color w:val="222222"/>
                <w:sz w:val="19"/>
                <w:szCs w:val="19"/>
                <w:highlight w:val="white"/>
              </w:rPr>
              <w:t xml:space="preserve">rect, Minnesota Farmers CARE, Safety, Speak For Yourself </w:t>
            </w:r>
            <w:r>
              <w:rPr>
                <w:color w:val="222222"/>
                <w:sz w:val="19"/>
                <w:szCs w:val="19"/>
                <w:highlight w:val="white"/>
              </w:rPr>
              <w:br/>
              <w:t>http://www.fbmn.org/</w:t>
            </w:r>
          </w:p>
        </w:tc>
      </w:tr>
      <w:tr w:rsidR="00F31FCD" w14:paraId="7921182C" w14:textId="77777777">
        <w:trPr>
          <w:trHeight w:val="48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1847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 xml:space="preserve">MN Food Association 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23E0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Training, Education, CSA. http://www.mnfoodassociation.org/</w:t>
            </w:r>
          </w:p>
        </w:tc>
      </w:tr>
      <w:tr w:rsidR="00F31FCD" w14:paraId="6B54A327" w14:textId="77777777">
        <w:trPr>
          <w:trHeight w:val="38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3AFC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MN Grown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97B5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MN Grown Directory (farmers &amp;</w:t>
            </w:r>
            <w:r>
              <w:rPr>
                <w:color w:val="222222"/>
                <w:sz w:val="19"/>
                <w:szCs w:val="19"/>
                <w:highlight w:val="white"/>
              </w:rPr>
              <w:t xml:space="preserve"> markets), Farm Fresh Road Trip, Membership, Wholesale Directory </w:t>
            </w:r>
          </w:p>
          <w:p w14:paraId="23F0E381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http://minnesotagrown.com/</w:t>
            </w:r>
          </w:p>
        </w:tc>
      </w:tr>
      <w:tr w:rsidR="00F31FCD" w14:paraId="23827139" w14:textId="77777777">
        <w:trPr>
          <w:trHeight w:val="70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0076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lastRenderedPageBreak/>
              <w:t>MN Institute for Sustainable Agriculture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7AEC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Sustainers’ Coalition, Ask MISA!, Farm &amp; Food Resources (Business Planning,Crops &amp; Livestock, Farm to School, Local Food,</w:t>
            </w:r>
            <w:r>
              <w:rPr>
                <w:color w:val="222222"/>
                <w:sz w:val="19"/>
                <w:szCs w:val="19"/>
                <w:highlight w:val="white"/>
              </w:rPr>
              <w:t xml:space="preserve"> Organic, Urban Agriculture, Beginning Farmers), MISA Publications Catalogue. http://www.misa.umn.edu/index.htm  </w:t>
            </w:r>
          </w:p>
        </w:tc>
      </w:tr>
      <w:tr w:rsidR="00F31FCD" w14:paraId="1B7BF193" w14:textId="77777777">
        <w:trPr>
          <w:trHeight w:val="70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681B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Regional Economic Development Commissions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A9D4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DevelopMN Initiative, Comprehensive Planning, Business Loans, Entrepreneurial Training Programs, Business Marketing and Retention Planning, Energy Efficiency Planning and Development, Management Planning.  http://www.mnado.org/</w:t>
            </w:r>
          </w:p>
        </w:tc>
      </w:tr>
      <w:tr w:rsidR="00F31FCD" w14:paraId="15B62B54" w14:textId="77777777">
        <w:trPr>
          <w:trHeight w:val="38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59C8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Regional Sustainable Develo</w:t>
            </w:r>
            <w:r>
              <w:rPr>
                <w:color w:val="222222"/>
                <w:sz w:val="19"/>
                <w:szCs w:val="19"/>
                <w:highlight w:val="white"/>
              </w:rPr>
              <w:t>pment Partnerships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5581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Five regional boards spanning Greater Minnesota, work with communities and award seed funding for sustainable development projects (clean energy, sustainable ag/food systems, natural resources, and sustainable tourism/resilient communiti</w:t>
            </w:r>
            <w:r>
              <w:rPr>
                <w:color w:val="222222"/>
                <w:sz w:val="19"/>
                <w:szCs w:val="19"/>
                <w:highlight w:val="white"/>
              </w:rPr>
              <w:t xml:space="preserve">es), </w:t>
            </w:r>
          </w:p>
          <w:p w14:paraId="0F60F57B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http://www.extension.umn.edu/rsdp/</w:t>
            </w:r>
          </w:p>
        </w:tc>
      </w:tr>
      <w:tr w:rsidR="00F31FCD" w14:paraId="46483564" w14:textId="77777777">
        <w:trPr>
          <w:trHeight w:val="38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FF79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Renewing the Countryside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8325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Publications (Growing Regional Wealth, Howard County Zoning Regulations,</w:t>
            </w:r>
            <w:r>
              <w:rPr>
                <w:sz w:val="19"/>
                <w:szCs w:val="19"/>
                <w:highlight w:val="white"/>
              </w:rPr>
              <w:t xml:space="preserve"> Accessory Dwelling Units to Support Farm Transitions), technical assistance, “Story Clearinghouse” (case studies on </w:t>
            </w:r>
            <w:r>
              <w:rPr>
                <w:sz w:val="19"/>
                <w:szCs w:val="19"/>
                <w:highlight w:val="white"/>
              </w:rPr>
              <w:t xml:space="preserve">food-related businesses), Farm-to-Institution networking sessions, New Farmer University, farm transition planning, female farmer networking, specialty crop enhancement teams, on-farm food service. </w:t>
            </w:r>
          </w:p>
          <w:p w14:paraId="5C7D1980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 xml:space="preserve"> http://www.renewingthecountryside.org/</w:t>
            </w:r>
          </w:p>
        </w:tc>
      </w:tr>
      <w:tr w:rsidR="00F31FCD" w14:paraId="5310512C" w14:textId="77777777">
        <w:trPr>
          <w:trHeight w:val="38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1AC3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Small Business Administration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9816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Financing, loan programs, resources for starting a small business, local mentoring and support connections, support to make a business plan, government contracting information.</w:t>
            </w:r>
          </w:p>
          <w:p w14:paraId="71E75762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 xml:space="preserve">https://www.sba.gov/    </w:t>
            </w:r>
          </w:p>
        </w:tc>
      </w:tr>
      <w:tr w:rsidR="00F31FCD" w14:paraId="181042DD" w14:textId="77777777">
        <w:trPr>
          <w:trHeight w:val="38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E784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Small Business Developm</w:t>
            </w:r>
            <w:r>
              <w:rPr>
                <w:color w:val="222222"/>
                <w:sz w:val="19"/>
                <w:szCs w:val="19"/>
                <w:highlight w:val="white"/>
              </w:rPr>
              <w:t>ent Centers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8753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 xml:space="preserve">Located in 9 regional centers in MN with pre-venture business services, startup business services, and established business services. Offer consulting (Access to Capital and Loan Packaging, Financial Analysis and Assessment, Accounting Systems </w:t>
            </w:r>
            <w:r>
              <w:rPr>
                <w:color w:val="222222"/>
                <w:sz w:val="19"/>
                <w:szCs w:val="19"/>
                <w:highlight w:val="white"/>
              </w:rPr>
              <w:t>and Literacy, Marketing and Research, Marketing Plan Development, Feasibility Analysis, Startup Assistance, Business Plan Development, Electronic Commerce/Website Development, Succession and Strategic Planning), does NOT administer loans/grants but helps s</w:t>
            </w:r>
            <w:r>
              <w:rPr>
                <w:color w:val="222222"/>
                <w:sz w:val="19"/>
                <w:szCs w:val="19"/>
                <w:highlight w:val="white"/>
              </w:rPr>
              <w:t>mall businesses find these. http://mn.gov/deed/business/help/sbdc/index.jsp</w:t>
            </w:r>
          </w:p>
        </w:tc>
      </w:tr>
      <w:tr w:rsidR="00F31FCD" w14:paraId="02904CC6" w14:textId="77777777">
        <w:trPr>
          <w:trHeight w:val="38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C53E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Sustainable Farming Association</w:t>
            </w:r>
          </w:p>
        </w:tc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B4C3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Beginning Grazier Handbook, Deep Roots Farmer Development program, Farmer workshops (soil health, grazing, webinars), Farm Solutions podcasts, Farm</w:t>
            </w:r>
            <w:r>
              <w:rPr>
                <w:color w:val="222222"/>
                <w:sz w:val="19"/>
                <w:szCs w:val="19"/>
                <w:highlight w:val="white"/>
              </w:rPr>
              <w:t>er Networking, Chapter memberships (e.g. Lake Superior), Production-type memberships (e.g. sustainable sheep)</w:t>
            </w:r>
          </w:p>
          <w:p w14:paraId="681B837D" w14:textId="77777777" w:rsidR="00F31FCD" w:rsidRDefault="00CE172C">
            <w:pPr>
              <w:widowControl w:val="0"/>
              <w:spacing w:line="240" w:lineRule="auto"/>
              <w:jc w:val="center"/>
            </w:pPr>
            <w:r>
              <w:rPr>
                <w:color w:val="222222"/>
                <w:sz w:val="19"/>
                <w:szCs w:val="19"/>
                <w:highlight w:val="white"/>
              </w:rPr>
              <w:t>http://www.sfa-mn.org/</w:t>
            </w:r>
          </w:p>
        </w:tc>
      </w:tr>
    </w:tbl>
    <w:p w14:paraId="74DDECCB" w14:textId="77777777" w:rsidR="00F31FCD" w:rsidRDefault="00F31FCD"/>
    <w:sectPr w:rsidR="00F31FCD">
      <w:head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ren Lanthier" w:date="2016-03-24T22:01:00Z" w:initials="">
    <w:p w14:paraId="15B027DB" w14:textId="77777777" w:rsidR="00F31FCD" w:rsidRDefault="00CE172C">
      <w:pPr>
        <w:widowControl w:val="0"/>
        <w:spacing w:line="240" w:lineRule="auto"/>
      </w:pPr>
      <w:r>
        <w:t>Check with HAFA and LEDC to be sure they actually offer this...</w:t>
      </w:r>
    </w:p>
  </w:comment>
  <w:comment w:id="2" w:author="Karen Lanthier" w:date="2016-03-24T22:01:00Z" w:initials="">
    <w:p w14:paraId="21F5C564" w14:textId="77777777" w:rsidR="00F31FCD" w:rsidRDefault="00CE172C">
      <w:pPr>
        <w:widowControl w:val="0"/>
        <w:spacing w:line="240" w:lineRule="auto"/>
      </w:pPr>
      <w:r>
        <w:t>(May not be a formal offering even if they know translators to connect ppl to)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B027DB" w15:done="0"/>
  <w15:commentEx w15:paraId="21F5C5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13FFC" w14:textId="77777777" w:rsidR="00CE172C" w:rsidRDefault="00CE172C">
      <w:pPr>
        <w:spacing w:line="240" w:lineRule="auto"/>
      </w:pPr>
      <w:r>
        <w:separator/>
      </w:r>
    </w:p>
  </w:endnote>
  <w:endnote w:type="continuationSeparator" w:id="0">
    <w:p w14:paraId="14932286" w14:textId="77777777" w:rsidR="00CE172C" w:rsidRDefault="00CE1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56D2" w14:textId="77777777" w:rsidR="00CE172C" w:rsidRDefault="00CE172C">
      <w:pPr>
        <w:spacing w:line="240" w:lineRule="auto"/>
      </w:pPr>
      <w:r>
        <w:separator/>
      </w:r>
    </w:p>
  </w:footnote>
  <w:footnote w:type="continuationSeparator" w:id="0">
    <w:p w14:paraId="2C08B661" w14:textId="77777777" w:rsidR="00CE172C" w:rsidRDefault="00CE17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7B9C" w14:textId="77777777" w:rsidR="00F31FCD" w:rsidRDefault="00CE172C">
    <w:r>
      <w:rPr>
        <w:color w:val="222222"/>
        <w:sz w:val="19"/>
        <w:szCs w:val="19"/>
        <w:highlight w:val="white"/>
      </w:rPr>
      <w:t>Changing the Approach to Regulation of Local Food Systems in Minnesota. June 2015-June 2016. Karen Lanthier and Stephanie Van Dyke. Minnesota Institute for Sustainable Agriculture; funded by Bush Foundation Community Innovation Grant. https://mnlocalfoodre</w:t>
    </w:r>
    <w:r>
      <w:rPr>
        <w:color w:val="222222"/>
        <w:sz w:val="19"/>
        <w:szCs w:val="19"/>
        <w:highlight w:val="white"/>
      </w:rPr>
      <w:t>gs.wordpress.com/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1FCD"/>
    <w:rsid w:val="00BA796E"/>
    <w:rsid w:val="00CE172C"/>
    <w:rsid w:val="00F3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884C"/>
  <w15:docId w15:val="{632F2B2E-64F3-428E-8AAC-09BAC53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2</cp:revision>
  <dcterms:created xsi:type="dcterms:W3CDTF">2016-06-29T21:24:00Z</dcterms:created>
  <dcterms:modified xsi:type="dcterms:W3CDTF">2016-06-29T21:24:00Z</dcterms:modified>
</cp:coreProperties>
</file>