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5907" w:rsidRDefault="00ED5907"/>
    <w:tbl>
      <w:tblPr>
        <w:tblStyle w:val="a3"/>
        <w:tblW w:w="12940"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0"/>
        <w:gridCol w:w="3860"/>
        <w:gridCol w:w="1380"/>
        <w:gridCol w:w="1340"/>
        <w:gridCol w:w="1900"/>
      </w:tblGrid>
      <w:tr w:rsidR="00ED5907">
        <w:trPr>
          <w:trHeight w:val="300"/>
        </w:trPr>
        <w:tc>
          <w:tcPr>
            <w:tcW w:w="12940" w:type="dxa"/>
            <w:gridSpan w:val="5"/>
            <w:shd w:val="clear" w:color="auto" w:fill="EFEFEF"/>
          </w:tcPr>
          <w:p w:rsidR="00ED5907" w:rsidRDefault="00807DAD">
            <w:pPr>
              <w:jc w:val="center"/>
            </w:pPr>
            <w:r>
              <w:rPr>
                <w:rFonts w:ascii="Times New Roman" w:eastAsia="Times New Roman" w:hAnsi="Times New Roman" w:cs="Times New Roman"/>
                <w:b/>
                <w:color w:val="222222"/>
              </w:rPr>
              <w:t>5. Regional Food Safety Experts - medium term</w:t>
            </w:r>
          </w:p>
        </w:tc>
      </w:tr>
      <w:tr w:rsidR="00ED5907">
        <w:trPr>
          <w:trHeight w:val="480"/>
        </w:trPr>
        <w:tc>
          <w:tcPr>
            <w:tcW w:w="12940" w:type="dxa"/>
            <w:gridSpan w:val="5"/>
            <w:shd w:val="clear" w:color="auto" w:fill="C27BA0"/>
          </w:tcPr>
          <w:p w:rsidR="00ED5907" w:rsidRDefault="00807DAD">
            <w:r>
              <w:rPr>
                <w:rFonts w:ascii="Times New Roman" w:eastAsia="Times New Roman" w:hAnsi="Times New Roman" w:cs="Times New Roman"/>
                <w:b/>
                <w:sz w:val="18"/>
                <w:szCs w:val="18"/>
              </w:rPr>
              <w:t>SITUATION:</w:t>
            </w:r>
            <w:r>
              <w:rPr>
                <w:rFonts w:ascii="Times New Roman" w:eastAsia="Times New Roman" w:hAnsi="Times New Roman" w:cs="Times New Roman"/>
                <w:sz w:val="18"/>
                <w:szCs w:val="18"/>
              </w:rPr>
              <w:t xml:space="preserve"> Farmers, food entrepreneurs, food system advocates, and regulators in Minnesota have difficulty navigating complex food safety requirements and in state and local rules and regulations. Moreover, there is </w:t>
            </w:r>
            <w:proofErr w:type="gramStart"/>
            <w:r>
              <w:rPr>
                <w:rFonts w:ascii="Times New Roman" w:eastAsia="Times New Roman" w:hAnsi="Times New Roman" w:cs="Times New Roman"/>
                <w:sz w:val="18"/>
                <w:szCs w:val="18"/>
              </w:rPr>
              <w:t>a disconnect</w:t>
            </w:r>
            <w:proofErr w:type="gramEnd"/>
            <w:r>
              <w:rPr>
                <w:rFonts w:ascii="Times New Roman" w:eastAsia="Times New Roman" w:hAnsi="Times New Roman" w:cs="Times New Roman"/>
                <w:sz w:val="18"/>
                <w:szCs w:val="18"/>
              </w:rPr>
              <w:t xml:space="preserve"> in understanding around food safety practices and business innovations among these groups at the regional level. </w:t>
            </w:r>
          </w:p>
        </w:tc>
      </w:tr>
      <w:tr w:rsidR="00ED5907">
        <w:trPr>
          <w:trHeight w:val="240"/>
        </w:trPr>
        <w:tc>
          <w:tcPr>
            <w:tcW w:w="12940" w:type="dxa"/>
            <w:gridSpan w:val="5"/>
            <w:shd w:val="clear" w:color="auto" w:fill="D5A6BD"/>
          </w:tcPr>
          <w:p w:rsidR="00ED5907" w:rsidRDefault="00807DAD">
            <w:r>
              <w:rPr>
                <w:rFonts w:ascii="Times New Roman" w:eastAsia="Times New Roman" w:hAnsi="Times New Roman" w:cs="Times New Roman"/>
                <w:b/>
                <w:sz w:val="18"/>
                <w:szCs w:val="18"/>
              </w:rPr>
              <w:t xml:space="preserve">Summary: </w:t>
            </w:r>
            <w:r>
              <w:rPr>
                <w:rFonts w:ascii="Times New Roman" w:eastAsia="Times New Roman" w:hAnsi="Times New Roman" w:cs="Times New Roman"/>
                <w:sz w:val="18"/>
                <w:szCs w:val="18"/>
              </w:rPr>
              <w:t>Create positions throughout MN that farmers/food businesses trust to ask food safety-related questions and have adequate training/background to refer people appropriately.</w:t>
            </w:r>
          </w:p>
        </w:tc>
      </w:tr>
      <w:tr w:rsidR="00ED5907">
        <w:trPr>
          <w:trHeight w:val="340"/>
        </w:trPr>
        <w:tc>
          <w:tcPr>
            <w:tcW w:w="12940" w:type="dxa"/>
            <w:gridSpan w:val="5"/>
            <w:shd w:val="clear" w:color="auto" w:fill="EAD1DC"/>
          </w:tcPr>
          <w:p w:rsidR="00ED5907" w:rsidRDefault="00807DAD">
            <w:r>
              <w:rPr>
                <w:rFonts w:ascii="Times New Roman" w:eastAsia="Times New Roman" w:hAnsi="Times New Roman" w:cs="Times New Roman"/>
                <w:b/>
                <w:sz w:val="18"/>
                <w:szCs w:val="18"/>
              </w:rPr>
              <w:t xml:space="preserve">Ask: </w:t>
            </w:r>
            <w:r>
              <w:rPr>
                <w:rFonts w:ascii="Times New Roman" w:eastAsia="Times New Roman" w:hAnsi="Times New Roman" w:cs="Times New Roman"/>
                <w:color w:val="222222"/>
                <w:sz w:val="18"/>
                <w:szCs w:val="18"/>
              </w:rPr>
              <w:t>Funding is secured and five new full-time Extension staff people are hired to operate out of existing regional offices. MDA, MDH and Delegated Agencies include these new educators in the existing agency educational structures so that they stay up-to-date on regulatory information.</w:t>
            </w:r>
            <w:r>
              <w:rPr>
                <w:rFonts w:ascii="Times New Roman" w:eastAsia="Times New Roman" w:hAnsi="Times New Roman" w:cs="Times New Roman"/>
                <w:sz w:val="18"/>
                <w:szCs w:val="18"/>
              </w:rPr>
              <w:t xml:space="preserve"> </w:t>
            </w:r>
          </w:p>
        </w:tc>
      </w:tr>
      <w:tr w:rsidR="00ED5907">
        <w:trPr>
          <w:trHeight w:val="240"/>
        </w:trPr>
        <w:tc>
          <w:tcPr>
            <w:tcW w:w="4460" w:type="dxa"/>
            <w:shd w:val="clear" w:color="auto" w:fill="FFD966"/>
          </w:tcPr>
          <w:p w:rsidR="00ED5907" w:rsidRDefault="00807DAD">
            <w:pPr>
              <w:jc w:val="center"/>
            </w:pPr>
            <w:r>
              <w:rPr>
                <w:rFonts w:ascii="Times New Roman" w:eastAsia="Times New Roman" w:hAnsi="Times New Roman" w:cs="Times New Roman"/>
                <w:b/>
                <w:sz w:val="18"/>
                <w:szCs w:val="18"/>
              </w:rPr>
              <w:t>INPUTS</w:t>
            </w:r>
          </w:p>
        </w:tc>
        <w:tc>
          <w:tcPr>
            <w:tcW w:w="3860" w:type="dxa"/>
            <w:shd w:val="clear" w:color="auto" w:fill="FFD966"/>
          </w:tcPr>
          <w:p w:rsidR="00ED5907" w:rsidRDefault="00807DAD">
            <w:pPr>
              <w:jc w:val="center"/>
            </w:pPr>
            <w:r>
              <w:rPr>
                <w:rFonts w:ascii="Times New Roman" w:eastAsia="Times New Roman" w:hAnsi="Times New Roman" w:cs="Times New Roman"/>
                <w:b/>
                <w:sz w:val="18"/>
                <w:szCs w:val="18"/>
              </w:rPr>
              <w:t xml:space="preserve">OUTPUTS </w:t>
            </w:r>
            <w:r>
              <w:rPr>
                <w:rFonts w:ascii="Times New Roman" w:eastAsia="Times New Roman" w:hAnsi="Times New Roman" w:cs="Times New Roman"/>
                <w:sz w:val="18"/>
                <w:szCs w:val="18"/>
              </w:rPr>
              <w:t>(Activities)</w:t>
            </w:r>
          </w:p>
        </w:tc>
        <w:tc>
          <w:tcPr>
            <w:tcW w:w="4620" w:type="dxa"/>
            <w:gridSpan w:val="3"/>
            <w:shd w:val="clear" w:color="auto" w:fill="FFD966"/>
          </w:tcPr>
          <w:p w:rsidR="00ED5907" w:rsidRDefault="00807DAD">
            <w:pPr>
              <w:jc w:val="center"/>
            </w:pPr>
            <w:r>
              <w:rPr>
                <w:rFonts w:ascii="Times New Roman" w:eastAsia="Times New Roman" w:hAnsi="Times New Roman" w:cs="Times New Roman"/>
                <w:b/>
                <w:sz w:val="18"/>
                <w:szCs w:val="18"/>
              </w:rPr>
              <w:t>OUTCOMES</w:t>
            </w:r>
          </w:p>
        </w:tc>
      </w:tr>
      <w:tr w:rsidR="00ED5907">
        <w:trPr>
          <w:trHeight w:val="240"/>
        </w:trPr>
        <w:tc>
          <w:tcPr>
            <w:tcW w:w="8320" w:type="dxa"/>
            <w:gridSpan w:val="2"/>
          </w:tcPr>
          <w:p w:rsidR="00ED5907" w:rsidRDefault="00ED5907"/>
        </w:tc>
        <w:tc>
          <w:tcPr>
            <w:tcW w:w="1380" w:type="dxa"/>
            <w:shd w:val="clear" w:color="auto" w:fill="FFF2CC"/>
          </w:tcPr>
          <w:p w:rsidR="00ED5907" w:rsidRDefault="00807DAD">
            <w:pPr>
              <w:jc w:val="center"/>
            </w:pPr>
            <w:r>
              <w:rPr>
                <w:rFonts w:ascii="Times New Roman" w:eastAsia="Times New Roman" w:hAnsi="Times New Roman" w:cs="Times New Roman"/>
                <w:sz w:val="18"/>
                <w:szCs w:val="18"/>
              </w:rPr>
              <w:t>Knowledge</w:t>
            </w:r>
          </w:p>
        </w:tc>
        <w:tc>
          <w:tcPr>
            <w:tcW w:w="1340" w:type="dxa"/>
            <w:shd w:val="clear" w:color="auto" w:fill="FFF2CC"/>
          </w:tcPr>
          <w:p w:rsidR="00ED5907" w:rsidRDefault="00807DAD">
            <w:pPr>
              <w:jc w:val="center"/>
            </w:pPr>
            <w:r>
              <w:rPr>
                <w:rFonts w:ascii="Times New Roman" w:eastAsia="Times New Roman" w:hAnsi="Times New Roman" w:cs="Times New Roman"/>
                <w:sz w:val="18"/>
                <w:szCs w:val="18"/>
              </w:rPr>
              <w:t>Actions</w:t>
            </w:r>
          </w:p>
        </w:tc>
        <w:tc>
          <w:tcPr>
            <w:tcW w:w="1900" w:type="dxa"/>
            <w:shd w:val="clear" w:color="auto" w:fill="FFF2CC"/>
          </w:tcPr>
          <w:p w:rsidR="00ED5907" w:rsidRDefault="00807DAD">
            <w:pPr>
              <w:jc w:val="center"/>
            </w:pPr>
            <w:r>
              <w:rPr>
                <w:rFonts w:ascii="Times New Roman" w:eastAsia="Times New Roman" w:hAnsi="Times New Roman" w:cs="Times New Roman"/>
                <w:sz w:val="18"/>
                <w:szCs w:val="18"/>
              </w:rPr>
              <w:t>Conditions</w:t>
            </w:r>
          </w:p>
        </w:tc>
      </w:tr>
      <w:tr w:rsidR="00ED5907">
        <w:tc>
          <w:tcPr>
            <w:tcW w:w="4460" w:type="dxa"/>
          </w:tcPr>
          <w:p w:rsidR="00ED5907" w:rsidRDefault="00807DAD">
            <w:r>
              <w:rPr>
                <w:rFonts w:ascii="Times New Roman" w:eastAsia="Times New Roman" w:hAnsi="Times New Roman" w:cs="Times New Roman"/>
                <w:sz w:val="18"/>
                <w:szCs w:val="18"/>
              </w:rPr>
              <w:t>Funding to hire new staff people</w:t>
            </w:r>
          </w:p>
          <w:p w:rsidR="00ED5907" w:rsidRDefault="00ED5907"/>
          <w:p w:rsidR="00ED5907" w:rsidRDefault="00807DAD">
            <w:r>
              <w:rPr>
                <w:rFonts w:ascii="Times New Roman" w:eastAsia="Times New Roman" w:hAnsi="Times New Roman" w:cs="Times New Roman"/>
                <w:sz w:val="18"/>
                <w:szCs w:val="18"/>
              </w:rPr>
              <w:t>Communications Capacity</w:t>
            </w:r>
          </w:p>
          <w:p w:rsidR="00ED5907" w:rsidRDefault="00ED5907"/>
          <w:p w:rsidR="00ED5907" w:rsidRDefault="00807DAD">
            <w:r>
              <w:rPr>
                <w:rFonts w:ascii="Times New Roman" w:eastAsia="Times New Roman" w:hAnsi="Times New Roman" w:cs="Times New Roman"/>
                <w:sz w:val="18"/>
                <w:szCs w:val="18"/>
              </w:rPr>
              <w:t>Resource/hosting organizations</w:t>
            </w:r>
          </w:p>
          <w:p w:rsidR="00ED5907" w:rsidRDefault="00ED5907"/>
          <w:p w:rsidR="00ED5907" w:rsidRDefault="00807DAD">
            <w:r>
              <w:rPr>
                <w:rFonts w:ascii="Times New Roman" w:eastAsia="Times New Roman" w:hAnsi="Times New Roman" w:cs="Times New Roman"/>
                <w:sz w:val="18"/>
                <w:szCs w:val="18"/>
              </w:rPr>
              <w:t xml:space="preserve">Resource documents </w:t>
            </w:r>
          </w:p>
          <w:p w:rsidR="00ED5907" w:rsidRDefault="00ED5907"/>
          <w:p w:rsidR="00ED5907" w:rsidRDefault="00807DAD">
            <w:r>
              <w:rPr>
                <w:rFonts w:ascii="Times New Roman" w:eastAsia="Times New Roman" w:hAnsi="Times New Roman" w:cs="Times New Roman"/>
                <w:sz w:val="18"/>
                <w:szCs w:val="18"/>
              </w:rPr>
              <w:t>MDA/MDH involvement – leadership, educational structures, and food safety expertise</w:t>
            </w:r>
          </w:p>
          <w:p w:rsidR="00ED5907" w:rsidRDefault="00ED5907"/>
          <w:p w:rsidR="00ED5907" w:rsidRDefault="00807DAD">
            <w:r>
              <w:rPr>
                <w:rFonts w:ascii="Times New Roman" w:eastAsia="Times New Roman" w:hAnsi="Times New Roman" w:cs="Times New Roman"/>
                <w:sz w:val="18"/>
                <w:szCs w:val="18"/>
              </w:rPr>
              <w:t>Food entrepreneurs’ experience and engagement</w:t>
            </w:r>
          </w:p>
          <w:p w:rsidR="00ED5907" w:rsidRDefault="00ED5907"/>
          <w:p w:rsidR="00ED5907" w:rsidRDefault="00807DAD">
            <w:r>
              <w:rPr>
                <w:rFonts w:ascii="Times New Roman" w:eastAsia="Times New Roman" w:hAnsi="Times New Roman" w:cs="Times New Roman"/>
                <w:sz w:val="18"/>
                <w:szCs w:val="18"/>
              </w:rPr>
              <w:t>University of Minnesota Extension involvement and support</w:t>
            </w:r>
          </w:p>
          <w:p w:rsidR="00ED5907" w:rsidRDefault="00ED5907"/>
        </w:tc>
        <w:tc>
          <w:tcPr>
            <w:tcW w:w="3860" w:type="dxa"/>
          </w:tcPr>
          <w:p w:rsidR="00ED5907" w:rsidRDefault="00807DAD">
            <w:r>
              <w:rPr>
                <w:rFonts w:ascii="Times New Roman" w:eastAsia="Times New Roman" w:hAnsi="Times New Roman" w:cs="Times New Roman"/>
                <w:sz w:val="18"/>
                <w:szCs w:val="18"/>
              </w:rPr>
              <w:t>Decide organization(s) to house positions</w:t>
            </w:r>
          </w:p>
          <w:p w:rsidR="00ED5907" w:rsidRDefault="00ED5907"/>
          <w:p w:rsidR="00ED5907" w:rsidRDefault="00807DAD">
            <w:r>
              <w:rPr>
                <w:rFonts w:ascii="Times New Roman" w:eastAsia="Times New Roman" w:hAnsi="Times New Roman" w:cs="Times New Roman"/>
                <w:sz w:val="18"/>
                <w:szCs w:val="18"/>
              </w:rPr>
              <w:t>Hire on staff members</w:t>
            </w:r>
          </w:p>
          <w:p w:rsidR="00ED5907" w:rsidRDefault="00ED5907"/>
          <w:p w:rsidR="00ED5907" w:rsidRDefault="00807DAD">
            <w:r>
              <w:rPr>
                <w:rFonts w:ascii="Times New Roman" w:eastAsia="Times New Roman" w:hAnsi="Times New Roman" w:cs="Times New Roman"/>
                <w:sz w:val="18"/>
                <w:szCs w:val="18"/>
              </w:rPr>
              <w:t xml:space="preserve">Establish job responsibilities and parameters for position </w:t>
            </w:r>
          </w:p>
          <w:p w:rsidR="00ED5907" w:rsidRDefault="00ED5907"/>
          <w:p w:rsidR="00ED5907" w:rsidRDefault="00807DAD">
            <w:r>
              <w:rPr>
                <w:rFonts w:ascii="Times New Roman" w:eastAsia="Times New Roman" w:hAnsi="Times New Roman" w:cs="Times New Roman"/>
                <w:sz w:val="18"/>
                <w:szCs w:val="18"/>
              </w:rPr>
              <w:t xml:space="preserve">Gain support from the Food Safety Defense Task Force </w:t>
            </w:r>
          </w:p>
          <w:p w:rsidR="00ED5907" w:rsidRDefault="00ED5907"/>
          <w:p w:rsidR="00ED5907" w:rsidRDefault="00807DAD">
            <w:r>
              <w:rPr>
                <w:rFonts w:ascii="Times New Roman" w:eastAsia="Times New Roman" w:hAnsi="Times New Roman" w:cs="Times New Roman"/>
                <w:sz w:val="18"/>
                <w:szCs w:val="18"/>
              </w:rPr>
              <w:t xml:space="preserve">Targeted outreach to start-up food entrepreneurs through the sustainable agriculture and local food network or organizations in Minnesota. </w:t>
            </w:r>
          </w:p>
          <w:p w:rsidR="00ED5907" w:rsidRDefault="00ED5907"/>
          <w:p w:rsidR="00ED5907" w:rsidRDefault="00807DAD">
            <w:r>
              <w:rPr>
                <w:rFonts w:ascii="Times New Roman" w:eastAsia="Times New Roman" w:hAnsi="Times New Roman" w:cs="Times New Roman"/>
                <w:sz w:val="18"/>
                <w:szCs w:val="18"/>
              </w:rPr>
              <w:t>Guide entrepreneur questions to related organizations as needed</w:t>
            </w:r>
          </w:p>
          <w:p w:rsidR="00ED5907" w:rsidRDefault="00ED5907"/>
          <w:p w:rsidR="00ED5907" w:rsidRDefault="00807DAD">
            <w:r>
              <w:rPr>
                <w:rFonts w:ascii="Times New Roman" w:eastAsia="Times New Roman" w:hAnsi="Times New Roman" w:cs="Times New Roman"/>
                <w:sz w:val="18"/>
                <w:szCs w:val="18"/>
              </w:rPr>
              <w:t>Collect existing and create new resource documents for food entrepreneurs</w:t>
            </w:r>
          </w:p>
          <w:p w:rsidR="00ED5907" w:rsidRDefault="00ED5907"/>
          <w:p w:rsidR="00ED5907" w:rsidRDefault="00807DAD">
            <w:r>
              <w:rPr>
                <w:rFonts w:ascii="Times New Roman" w:eastAsia="Times New Roman" w:hAnsi="Times New Roman" w:cs="Times New Roman"/>
                <w:sz w:val="18"/>
                <w:szCs w:val="18"/>
              </w:rPr>
              <w:t>Work with regulators  within the agencies</w:t>
            </w:r>
          </w:p>
        </w:tc>
        <w:tc>
          <w:tcPr>
            <w:tcW w:w="1380" w:type="dxa"/>
          </w:tcPr>
          <w:p w:rsidR="00ED5907" w:rsidRDefault="00807DAD">
            <w:bookmarkStart w:id="0" w:name="h.ydy9sst8r5zr" w:colFirst="0" w:colLast="0"/>
            <w:bookmarkEnd w:id="0"/>
            <w:r>
              <w:rPr>
                <w:rFonts w:ascii="Times New Roman" w:eastAsia="Times New Roman" w:hAnsi="Times New Roman" w:cs="Times New Roman"/>
                <w:sz w:val="18"/>
                <w:szCs w:val="18"/>
              </w:rPr>
              <w:t>Increased food entrepreneur preparation to contact an inspector.</w:t>
            </w:r>
          </w:p>
          <w:p w:rsidR="00ED5907" w:rsidRDefault="00ED5907">
            <w:bookmarkStart w:id="1" w:name="h.lx547kyxl12n" w:colFirst="0" w:colLast="0"/>
            <w:bookmarkEnd w:id="1"/>
          </w:p>
          <w:p w:rsidR="00ED5907" w:rsidRDefault="00807DAD">
            <w:r>
              <w:rPr>
                <w:rFonts w:ascii="Times New Roman" w:eastAsia="Times New Roman" w:hAnsi="Times New Roman" w:cs="Times New Roman"/>
                <w:sz w:val="18"/>
                <w:szCs w:val="18"/>
              </w:rPr>
              <w:t>Increased food entrepreneur knowledge - including on issues of food safety</w:t>
            </w:r>
          </w:p>
          <w:p w:rsidR="00ED5907" w:rsidRDefault="00ED5907"/>
          <w:p w:rsidR="00ED5907" w:rsidRDefault="00807DAD">
            <w:r>
              <w:rPr>
                <w:rFonts w:ascii="Times New Roman" w:eastAsia="Times New Roman" w:hAnsi="Times New Roman" w:cs="Times New Roman"/>
                <w:sz w:val="18"/>
                <w:szCs w:val="18"/>
              </w:rPr>
              <w:t>Reduced confusion around requirements on the part of food entrepreneurs</w:t>
            </w:r>
          </w:p>
          <w:p w:rsidR="00ED5907" w:rsidRDefault="00ED5907"/>
        </w:tc>
        <w:tc>
          <w:tcPr>
            <w:tcW w:w="1340" w:type="dxa"/>
          </w:tcPr>
          <w:p w:rsidR="00ED5907" w:rsidRDefault="00807DAD">
            <w:bookmarkStart w:id="2" w:name="h.ceojyhkk6lh" w:colFirst="0" w:colLast="0"/>
            <w:bookmarkEnd w:id="2"/>
            <w:r>
              <w:rPr>
                <w:rFonts w:ascii="Times New Roman" w:eastAsia="Times New Roman" w:hAnsi="Times New Roman" w:cs="Times New Roman"/>
                <w:sz w:val="18"/>
                <w:szCs w:val="18"/>
              </w:rPr>
              <w:t>Efficient referral of entrepreneur questions due to collaboration between Licensing Liaisons &amp; Regional Food Safety Experts</w:t>
            </w:r>
          </w:p>
          <w:p w:rsidR="00ED5907" w:rsidRDefault="00ED5907">
            <w:bookmarkStart w:id="3" w:name="h.10i5dr5pnm4t" w:colFirst="0" w:colLast="0"/>
            <w:bookmarkEnd w:id="3"/>
          </w:p>
          <w:p w:rsidR="00ED5907" w:rsidRDefault="00807DAD">
            <w:r>
              <w:rPr>
                <w:rFonts w:ascii="Times New Roman" w:eastAsia="Times New Roman" w:hAnsi="Times New Roman" w:cs="Times New Roman"/>
                <w:sz w:val="18"/>
                <w:szCs w:val="18"/>
              </w:rPr>
              <w:t>Food inspectors field fewer points of confusion.</w:t>
            </w:r>
          </w:p>
          <w:p w:rsidR="00ED5907" w:rsidRDefault="00ED5907">
            <w:bookmarkStart w:id="4" w:name="h.smit2q9jhi6f" w:colFirst="0" w:colLast="0"/>
            <w:bookmarkEnd w:id="4"/>
          </w:p>
          <w:p w:rsidR="00ED5907" w:rsidRDefault="00807DAD">
            <w:bookmarkStart w:id="5" w:name="h.2k212rhe4ns8" w:colFirst="0" w:colLast="0"/>
            <w:bookmarkEnd w:id="5"/>
            <w:r>
              <w:rPr>
                <w:rFonts w:ascii="Times New Roman" w:eastAsia="Times New Roman" w:hAnsi="Times New Roman" w:cs="Times New Roman"/>
                <w:sz w:val="18"/>
                <w:szCs w:val="18"/>
              </w:rPr>
              <w:t>Regional Food Safety Experts become part of the agencies’ learning management system</w:t>
            </w:r>
          </w:p>
          <w:p w:rsidR="00ED5907" w:rsidRDefault="00ED5907">
            <w:bookmarkStart w:id="6" w:name="h.98dj9j749n2h" w:colFirst="0" w:colLast="0"/>
            <w:bookmarkEnd w:id="6"/>
          </w:p>
        </w:tc>
        <w:tc>
          <w:tcPr>
            <w:tcW w:w="1900" w:type="dxa"/>
          </w:tcPr>
          <w:p w:rsidR="00ED5907" w:rsidRDefault="00807DAD">
            <w:bookmarkStart w:id="7" w:name="h.5beri4w3cs9v" w:colFirst="0" w:colLast="0"/>
            <w:bookmarkEnd w:id="7"/>
            <w:r>
              <w:rPr>
                <w:rFonts w:ascii="Times New Roman" w:eastAsia="Times New Roman" w:hAnsi="Times New Roman" w:cs="Times New Roman"/>
                <w:sz w:val="18"/>
                <w:szCs w:val="18"/>
              </w:rPr>
              <w:t>Faster turnaround time between concept and application approval</w:t>
            </w:r>
          </w:p>
          <w:p w:rsidR="00ED5907" w:rsidRDefault="00ED5907">
            <w:bookmarkStart w:id="8" w:name="h.in2jk3o3hzpm" w:colFirst="0" w:colLast="0"/>
            <w:bookmarkEnd w:id="8"/>
          </w:p>
          <w:p w:rsidR="00ED5907" w:rsidRDefault="00807DAD">
            <w:bookmarkStart w:id="9" w:name="h.l4z4f1nsmw1b" w:colFirst="0" w:colLast="0"/>
            <w:bookmarkEnd w:id="9"/>
            <w:r>
              <w:rPr>
                <w:rFonts w:ascii="Times New Roman" w:eastAsia="Times New Roman" w:hAnsi="Times New Roman" w:cs="Times New Roman"/>
                <w:sz w:val="18"/>
                <w:szCs w:val="18"/>
              </w:rPr>
              <w:t xml:space="preserve">Food entrepreneurs have </w:t>
            </w:r>
            <w:proofErr w:type="spellStart"/>
            <w:proofErr w:type="gramStart"/>
            <w:r>
              <w:rPr>
                <w:rFonts w:ascii="Times New Roman" w:eastAsia="Times New Roman" w:hAnsi="Times New Roman" w:cs="Times New Roman"/>
                <w:sz w:val="18"/>
                <w:szCs w:val="18"/>
              </w:rPr>
              <w:t>a</w:t>
            </w:r>
            <w:proofErr w:type="spellEnd"/>
            <w:proofErr w:type="gramEnd"/>
            <w:r>
              <w:rPr>
                <w:rFonts w:ascii="Times New Roman" w:eastAsia="Times New Roman" w:hAnsi="Times New Roman" w:cs="Times New Roman"/>
                <w:sz w:val="18"/>
                <w:szCs w:val="18"/>
              </w:rPr>
              <w:t xml:space="preserve"> information resource they trust and can learn from within their geographical region. </w:t>
            </w:r>
          </w:p>
          <w:p w:rsidR="00ED5907" w:rsidRDefault="00ED5907"/>
        </w:tc>
      </w:tr>
      <w:tr w:rsidR="00ED5907">
        <w:trPr>
          <w:trHeight w:val="180"/>
        </w:trPr>
        <w:tc>
          <w:tcPr>
            <w:tcW w:w="4460" w:type="dxa"/>
          </w:tcPr>
          <w:p w:rsidR="00ED5907" w:rsidRDefault="00807DAD">
            <w:r>
              <w:rPr>
                <w:rFonts w:ascii="Times New Roman" w:eastAsia="Times New Roman" w:hAnsi="Times New Roman" w:cs="Times New Roman"/>
                <w:b/>
                <w:sz w:val="18"/>
                <w:szCs w:val="18"/>
              </w:rPr>
              <w:t>ASSUMPTIONS:</w:t>
            </w:r>
            <w:r>
              <w:rPr>
                <w:rFonts w:ascii="Times New Roman" w:eastAsia="Times New Roman" w:hAnsi="Times New Roman" w:cs="Times New Roman"/>
                <w:sz w:val="18"/>
                <w:szCs w:val="18"/>
              </w:rPr>
              <w:t xml:space="preserve"> The Regional Food Safety Experts will be effective, helpful trusted</w:t>
            </w: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 and sought out by farmers, food entrepreneurs, food system advocates, and regulators.</w:t>
            </w:r>
          </w:p>
        </w:tc>
        <w:tc>
          <w:tcPr>
            <w:tcW w:w="8480" w:type="dxa"/>
            <w:gridSpan w:val="4"/>
          </w:tcPr>
          <w:p w:rsidR="00ED5907" w:rsidRDefault="00807DAD">
            <w:r>
              <w:rPr>
                <w:rFonts w:ascii="Times New Roman" w:eastAsia="Times New Roman" w:hAnsi="Times New Roman" w:cs="Times New Roman"/>
                <w:b/>
                <w:sz w:val="18"/>
                <w:szCs w:val="18"/>
              </w:rPr>
              <w:t>EXTERNAL FACTORS:</w:t>
            </w:r>
            <w:r>
              <w:rPr>
                <w:rFonts w:ascii="Times New Roman" w:eastAsia="Times New Roman" w:hAnsi="Times New Roman" w:cs="Times New Roman"/>
                <w:sz w:val="18"/>
                <w:szCs w:val="18"/>
              </w:rPr>
              <w:t xml:space="preserve"> The success of this project will depend on the willingness of organizations to house the positions and how responsive food entrepreneurs are to the outreach efforts.  </w:t>
            </w:r>
          </w:p>
        </w:tc>
      </w:tr>
    </w:tbl>
    <w:p w:rsidR="00ED5907" w:rsidRDefault="00ED5907"/>
    <w:p w:rsidR="00ED5907" w:rsidRDefault="00807DAD">
      <w:r>
        <w:br w:type="page"/>
      </w:r>
      <w:bookmarkStart w:id="10" w:name="_GoBack"/>
      <w:bookmarkEnd w:id="10"/>
    </w:p>
    <w:sectPr w:rsidR="00ED5907">
      <w:headerReference w:type="default" r:id="rId7"/>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920" w:rsidRDefault="00EC4920">
      <w:pPr>
        <w:spacing w:line="240" w:lineRule="auto"/>
      </w:pPr>
      <w:r>
        <w:separator/>
      </w:r>
    </w:p>
  </w:endnote>
  <w:endnote w:type="continuationSeparator" w:id="0">
    <w:p w:rsidR="00EC4920" w:rsidRDefault="00EC49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920" w:rsidRDefault="00EC4920">
      <w:pPr>
        <w:spacing w:line="240" w:lineRule="auto"/>
      </w:pPr>
      <w:r>
        <w:separator/>
      </w:r>
    </w:p>
  </w:footnote>
  <w:footnote w:type="continuationSeparator" w:id="0">
    <w:p w:rsidR="00EC4920" w:rsidRDefault="00EC49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07" w:rsidRDefault="00807DAD">
    <w:r>
      <w:rPr>
        <w:color w:val="222222"/>
        <w:sz w:val="19"/>
        <w:szCs w:val="19"/>
        <w:highlight w:val="white"/>
      </w:rPr>
      <w:t xml:space="preserve">Changing the Approach to Regulation of Local Food Systems in Minnesota. June 2015-June 2016. Karen </w:t>
    </w:r>
    <w:proofErr w:type="spellStart"/>
    <w:r>
      <w:rPr>
        <w:color w:val="222222"/>
        <w:sz w:val="19"/>
        <w:szCs w:val="19"/>
        <w:highlight w:val="white"/>
      </w:rPr>
      <w:t>Lanthier</w:t>
    </w:r>
    <w:proofErr w:type="spellEnd"/>
    <w:r>
      <w:rPr>
        <w:color w:val="222222"/>
        <w:sz w:val="19"/>
        <w:szCs w:val="19"/>
        <w:highlight w:val="white"/>
      </w:rPr>
      <w:t xml:space="preserve"> and Stephanie Van Dyke. Minnesota Institute for Sustainable Agriculture; funded by Bush Foundation Community Innovation Grant. https://mnlocalfoodregs.wordpress.com/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D0646"/>
    <w:multiLevelType w:val="multilevel"/>
    <w:tmpl w:val="BB3C87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4F475F3"/>
    <w:multiLevelType w:val="multilevel"/>
    <w:tmpl w:val="8B76AA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581748C"/>
    <w:multiLevelType w:val="multilevel"/>
    <w:tmpl w:val="FA7E44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D5907"/>
    <w:rsid w:val="00116019"/>
    <w:rsid w:val="00173434"/>
    <w:rsid w:val="001D6917"/>
    <w:rsid w:val="002278B4"/>
    <w:rsid w:val="003414E9"/>
    <w:rsid w:val="003D5A25"/>
    <w:rsid w:val="004C699B"/>
    <w:rsid w:val="00807DAD"/>
    <w:rsid w:val="00DF1EC8"/>
    <w:rsid w:val="00EC4920"/>
    <w:rsid w:val="00ED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BCF16-37EB-4752-9D61-838283B2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3</cp:revision>
  <dcterms:created xsi:type="dcterms:W3CDTF">2016-06-30T18:14:00Z</dcterms:created>
  <dcterms:modified xsi:type="dcterms:W3CDTF">2016-06-30T18:29:00Z</dcterms:modified>
</cp:coreProperties>
</file>